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Override PartName="/word/footer1.xml" ContentType="application/vnd.openxmlformats-officedocument.wordprocessingml.footer+xml"/>
  <Default Extension="png" ContentType="image/png"/>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spacing w:before="2" w:after="1"/>
        <w:rPr>
          <w:rFonts w:ascii="Times New Roman"/>
          <w:sz w:val="24"/>
        </w:rPr>
      </w:pPr>
    </w:p>
    <w:p>
      <w:pPr>
        <w:pStyle w:val="BodyText"/>
        <w:ind w:left="1067"/>
        <w:rPr>
          <w:rFonts w:ascii="Times New Roman"/>
        </w:rPr>
      </w:pPr>
      <w:r>
        <w:rPr>
          <w:rFonts w:ascii="Times New Roman"/>
        </w:rPr>
        <w:pict>
          <v:shape style="width:401.5pt;height:86.1pt;mso-position-horizontal-relative:char;mso-position-vertical-relative:line" type="#_x0000_t202" id="docshape3" filled="true" fillcolor="#bebebe" stroked="false">
            <w10:anchorlock/>
            <v:textbox inset="0,0,0,0">
              <w:txbxContent>
                <w:p>
                  <w:pPr>
                    <w:spacing w:before="478"/>
                    <w:ind w:left="158" w:right="0" w:firstLine="0"/>
                    <w:jc w:val="left"/>
                    <w:rPr>
                      <w:b/>
                      <w:color w:val="000000"/>
                      <w:sz w:val="72"/>
                    </w:rPr>
                  </w:pPr>
                  <w:r>
                    <w:rPr>
                      <w:b/>
                      <w:color w:val="F1F1F1"/>
                      <w:position w:val="-13"/>
                      <w:sz w:val="96"/>
                    </w:rPr>
                    <w:t>DI</w:t>
                  </w:r>
                  <w:r>
                    <w:rPr>
                      <w:b/>
                      <w:color w:val="FF0000"/>
                      <w:position w:val="-13"/>
                      <w:sz w:val="96"/>
                    </w:rPr>
                    <w:t>P</w:t>
                  </w:r>
                  <w:r>
                    <w:rPr>
                      <w:b/>
                      <w:color w:val="F1F1F1"/>
                      <w:position w:val="-13"/>
                      <w:sz w:val="96"/>
                    </w:rPr>
                    <w:t>D</w:t>
                  </w:r>
                  <w:r>
                    <w:rPr>
                      <w:b/>
                      <w:color w:val="F1F1F1"/>
                      <w:spacing w:val="66"/>
                      <w:position w:val="-13"/>
                      <w:sz w:val="96"/>
                    </w:rPr>
                    <w:t> </w:t>
                  </w:r>
                  <w:r>
                    <w:rPr>
                      <w:b/>
                      <w:color w:val="7E7E7E"/>
                      <w:spacing w:val="-2"/>
                      <w:sz w:val="72"/>
                    </w:rPr>
                    <w:t>DIRECTRICES</w:t>
                  </w:r>
                </w:p>
              </w:txbxContent>
            </v:textbox>
            <v:fill type="solid"/>
          </v:shape>
        </w:pict>
      </w:r>
      <w:r>
        <w:rPr>
          <w:rFonts w:ascii="Times New Roman"/>
        </w:rPr>
      </w:r>
    </w:p>
    <w:p>
      <w:pPr>
        <w:pStyle w:val="BodyText"/>
        <w:rPr>
          <w:rFonts w:ascii="Times New Roman"/>
        </w:rPr>
      </w:pPr>
    </w:p>
    <w:p>
      <w:pPr>
        <w:pStyle w:val="BodyText"/>
        <w:rPr>
          <w:rFonts w:ascii="Times New Roman"/>
        </w:rPr>
      </w:pPr>
    </w:p>
    <w:p>
      <w:pPr>
        <w:pStyle w:val="BodyText"/>
        <w:spacing w:before="11"/>
        <w:rPr>
          <w:rFonts w:ascii="Times New Roman"/>
          <w:sz w:val="27"/>
        </w:rPr>
      </w:pPr>
      <w:r>
        <w:rPr/>
        <w:pict>
          <v:group style="position:absolute;margin-left:118.360001pt;margin-top:17.281954pt;width:401.5pt;height:96.4pt;mso-position-horizontal-relative:page;mso-position-vertical-relative:paragraph;z-index:-15728128;mso-wrap-distance-left:0;mso-wrap-distance-right:0" id="docshapegroup4" coordorigin="2367,346" coordsize="8030,1928">
            <v:shape style="position:absolute;left:2367;top:345;width:8030;height:1928" id="docshape5" coordorigin="2367,346" coordsize="8030,1928" path="m10397,346l2367,346,2367,346,2367,361,2367,2273,2439,2273,10325,2273,10397,2273,10397,361,10397,346,10397,346xe" filled="true" fillcolor="#bebebe" stroked="false">
              <v:path arrowok="t"/>
              <v:fill type="solid"/>
            </v:shape>
            <v:shape style="position:absolute;left:3012;top:652;width:593;height:805" type="#_x0000_t202" id="docshape6" filled="false" stroked="false">
              <v:textbox inset="0,0,0,0">
                <w:txbxContent>
                  <w:p>
                    <w:pPr>
                      <w:spacing w:line="804" w:lineRule="exact" w:before="0"/>
                      <w:ind w:left="0" w:right="0" w:firstLine="0"/>
                      <w:jc w:val="left"/>
                      <w:rPr>
                        <w:sz w:val="72"/>
                      </w:rPr>
                    </w:pPr>
                    <w:r>
                      <w:rPr>
                        <w:color w:val="FFFFFF"/>
                        <w:spacing w:val="-10"/>
                        <w:sz w:val="72"/>
                      </w:rPr>
                      <w:t>1.</w:t>
                    </w:r>
                  </w:p>
                </w:txbxContent>
              </v:textbox>
              <w10:wrap type="none"/>
            </v:shape>
            <v:shape style="position:absolute;left:4570;top:559;width:2819;height:1454" type="#_x0000_t202" id="docshape7" filled="false" stroked="false">
              <v:textbox inset="0,0,0,0">
                <w:txbxContent>
                  <w:p>
                    <w:pPr>
                      <w:spacing w:line="625" w:lineRule="exact" w:before="0"/>
                      <w:ind w:left="0" w:right="0" w:firstLine="0"/>
                      <w:jc w:val="left"/>
                      <w:rPr>
                        <w:sz w:val="56"/>
                      </w:rPr>
                    </w:pPr>
                    <w:r>
                      <w:rPr>
                        <w:color w:val="7E7E7E"/>
                        <w:spacing w:val="-2"/>
                        <w:sz w:val="56"/>
                      </w:rPr>
                      <w:t>ACUERDO</w:t>
                    </w:r>
                  </w:p>
                  <w:p>
                    <w:pPr>
                      <w:spacing w:before="184"/>
                      <w:ind w:left="43" w:right="0" w:firstLine="0"/>
                      <w:jc w:val="left"/>
                      <w:rPr>
                        <w:sz w:val="56"/>
                      </w:rPr>
                    </w:pPr>
                    <w:r>
                      <w:rPr>
                        <w:color w:val="FF0000"/>
                        <w:spacing w:val="-2"/>
                        <w:sz w:val="56"/>
                      </w:rPr>
                      <w:t>MARCO</w:t>
                    </w:r>
                  </w:p>
                </w:txbxContent>
              </v:textbox>
              <w10:wrap type="none"/>
            </v:shape>
            <w10:wrap type="topAndBottom"/>
          </v:group>
        </w:pict>
      </w:r>
      <w:r>
        <w:rPr/>
        <w:drawing>
          <wp:anchor distT="0" distB="0" distL="0" distR="0" allowOverlap="1" layoutInCell="1" locked="0" behindDoc="0" simplePos="0" relativeHeight="2">
            <wp:simplePos x="0" y="0"/>
            <wp:positionH relativeFrom="page">
              <wp:posOffset>1504034</wp:posOffset>
            </wp:positionH>
            <wp:positionV relativeFrom="paragraph">
              <wp:posOffset>1585353</wp:posOffset>
            </wp:positionV>
            <wp:extent cx="5076921" cy="1161288"/>
            <wp:effectExtent l="0" t="0" r="0" b="0"/>
            <wp:wrapTopAndBottom/>
            <wp:docPr id="1" name="image1.png"/>
            <wp:cNvGraphicFramePr>
              <a:graphicFrameLocks noChangeAspect="1"/>
            </wp:cNvGraphicFramePr>
            <a:graphic>
              <a:graphicData uri="http://schemas.openxmlformats.org/drawingml/2006/picture">
                <pic:pic>
                  <pic:nvPicPr>
                    <pic:cNvPr id="2" name="image1.png"/>
                    <pic:cNvPicPr/>
                  </pic:nvPicPr>
                  <pic:blipFill>
                    <a:blip r:embed="rId7" cstate="print"/>
                    <a:stretch>
                      <a:fillRect/>
                    </a:stretch>
                  </pic:blipFill>
                  <pic:spPr>
                    <a:xfrm>
                      <a:off x="0" y="0"/>
                      <a:ext cx="5076921" cy="1161288"/>
                    </a:xfrm>
                    <a:prstGeom prst="rect">
                      <a:avLst/>
                    </a:prstGeom>
                  </pic:spPr>
                </pic:pic>
              </a:graphicData>
            </a:graphic>
          </wp:anchor>
        </w:drawing>
      </w:r>
      <w:r>
        <w:rPr/>
        <w:pict>
          <v:shape style="position:absolute;margin-left:118.360001pt;margin-top:221.501953pt;width:401.5pt;height:96.4pt;mso-position-horizontal-relative:page;mso-position-vertical-relative:paragraph;z-index:-15727104;mso-wrap-distance-left:0;mso-wrap-distance-right:0" type="#_x0000_t202" id="docshape8" filled="true" fillcolor="#bebebe" stroked="false">
            <v:textbox inset="0,0,0,0">
              <w:txbxContent>
                <w:p>
                  <w:pPr>
                    <w:numPr>
                      <w:ilvl w:val="0"/>
                      <w:numId w:val="1"/>
                    </w:numPr>
                    <w:tabs>
                      <w:tab w:pos="1777" w:val="left" w:leader="none"/>
                    </w:tabs>
                    <w:spacing w:line="225" w:lineRule="auto" w:before="282"/>
                    <w:ind w:left="1817" w:right="1400" w:hanging="1011"/>
                    <w:jc w:val="left"/>
                    <w:rPr>
                      <w:color w:val="000000"/>
                      <w:sz w:val="56"/>
                    </w:rPr>
                  </w:pPr>
                  <w:r>
                    <w:rPr>
                      <w:color w:val="7E7E7E"/>
                      <w:spacing w:val="-2"/>
                      <w:w w:val="95"/>
                      <w:sz w:val="56"/>
                    </w:rPr>
                    <w:t>ADMINISTRACIÓN </w:t>
                  </w:r>
                  <w:r>
                    <w:rPr>
                      <w:color w:val="FF0000"/>
                      <w:sz w:val="56"/>
                    </w:rPr>
                    <w:t>DE LOS FONDOS</w:t>
                  </w:r>
                </w:p>
              </w:txbxContent>
            </v:textbox>
            <v:fill type="solid"/>
            <w10:wrap type="topAndBottom"/>
          </v:shape>
        </w:pict>
      </w:r>
      <w:r>
        <w:rPr/>
        <w:drawing>
          <wp:anchor distT="0" distB="0" distL="0" distR="0" allowOverlap="1" layoutInCell="1" locked="0" behindDoc="0" simplePos="0" relativeHeight="4">
            <wp:simplePos x="0" y="0"/>
            <wp:positionH relativeFrom="page">
              <wp:posOffset>1504034</wp:posOffset>
            </wp:positionH>
            <wp:positionV relativeFrom="paragraph">
              <wp:posOffset>4176241</wp:posOffset>
            </wp:positionV>
            <wp:extent cx="5090901" cy="1220724"/>
            <wp:effectExtent l="0" t="0" r="0" b="0"/>
            <wp:wrapTopAndBottom/>
            <wp:docPr id="3" name="image2.png"/>
            <wp:cNvGraphicFramePr>
              <a:graphicFrameLocks noChangeAspect="1"/>
            </wp:cNvGraphicFramePr>
            <a:graphic>
              <a:graphicData uri="http://schemas.openxmlformats.org/drawingml/2006/picture">
                <pic:pic>
                  <pic:nvPicPr>
                    <pic:cNvPr id="4" name="image2.png"/>
                    <pic:cNvPicPr/>
                  </pic:nvPicPr>
                  <pic:blipFill>
                    <a:blip r:embed="rId8" cstate="print"/>
                    <a:stretch>
                      <a:fillRect/>
                    </a:stretch>
                  </pic:blipFill>
                  <pic:spPr>
                    <a:xfrm>
                      <a:off x="0" y="0"/>
                      <a:ext cx="5090901" cy="1220724"/>
                    </a:xfrm>
                    <a:prstGeom prst="rect">
                      <a:avLst/>
                    </a:prstGeom>
                  </pic:spPr>
                </pic:pic>
              </a:graphicData>
            </a:graphic>
          </wp:anchor>
        </w:drawing>
      </w:r>
      <w:r>
        <w:rPr/>
        <w:pict>
          <v:shape style="position:absolute;margin-left:117.900002pt;margin-top:433.057373pt;width:401.5pt;height:70.75pt;mso-position-horizontal-relative:page;mso-position-vertical-relative:paragraph;z-index:-15726080;mso-wrap-distance-left:0;mso-wrap-distance-right:0" type="#_x0000_t202" id="docshape9" filled="true" fillcolor="#bebebe" stroked="false">
            <v:textbox inset="0,0,0,0">
              <w:txbxContent>
                <w:p>
                  <w:pPr>
                    <w:spacing w:line="196" w:lineRule="auto" w:before="115"/>
                    <w:ind w:left="2258" w:right="1920" w:hanging="1424"/>
                    <w:jc w:val="left"/>
                    <w:rPr>
                      <w:color w:val="000000"/>
                      <w:sz w:val="56"/>
                    </w:rPr>
                  </w:pPr>
                  <w:r>
                    <w:rPr>
                      <w:color w:val="FFFFFF"/>
                      <w:position w:val="-1"/>
                      <w:sz w:val="72"/>
                    </w:rPr>
                    <w:t>3. </w:t>
                  </w:r>
                  <w:r>
                    <w:rPr>
                      <w:color w:val="7E7E7E"/>
                      <w:sz w:val="56"/>
                    </w:rPr>
                    <w:t>FORMATOS </w:t>
                  </w:r>
                  <w:r>
                    <w:rPr>
                      <w:color w:val="FF0000"/>
                      <w:spacing w:val="-4"/>
                      <w:sz w:val="56"/>
                    </w:rPr>
                    <w:t>DIPD</w:t>
                  </w:r>
                </w:p>
              </w:txbxContent>
            </v:textbox>
            <v:fill type="solid"/>
            <w10:wrap type="topAndBottom"/>
          </v:shape>
        </w:pict>
      </w:r>
    </w:p>
    <w:p>
      <w:pPr>
        <w:pStyle w:val="BodyText"/>
        <w:spacing w:before="3"/>
        <w:rPr>
          <w:rFonts w:ascii="Times New Roman"/>
          <w:sz w:val="17"/>
        </w:rPr>
      </w:pPr>
    </w:p>
    <w:p>
      <w:pPr>
        <w:pStyle w:val="BodyText"/>
        <w:rPr>
          <w:rFonts w:ascii="Times New Roman"/>
          <w:sz w:val="7"/>
        </w:rPr>
      </w:pPr>
    </w:p>
    <w:p>
      <w:pPr>
        <w:pStyle w:val="BodyText"/>
        <w:spacing w:before="11"/>
        <w:rPr>
          <w:rFonts w:ascii="Times New Roman"/>
          <w:sz w:val="16"/>
        </w:rPr>
      </w:pPr>
    </w:p>
    <w:p>
      <w:pPr>
        <w:pStyle w:val="BodyText"/>
        <w:rPr>
          <w:rFonts w:ascii="Times New Roman"/>
          <w:sz w:val="12"/>
        </w:rPr>
      </w:pPr>
    </w:p>
    <w:p>
      <w:pPr>
        <w:spacing w:after="0"/>
        <w:rPr>
          <w:rFonts w:ascii="Times New Roman"/>
          <w:sz w:val="12"/>
        </w:rPr>
        <w:sectPr>
          <w:headerReference w:type="default" r:id="rId5"/>
          <w:footerReference w:type="default" r:id="rId6"/>
          <w:type w:val="continuous"/>
          <w:pgSz w:w="11910" w:h="16850"/>
          <w:pgMar w:header="718" w:footer="878" w:top="940" w:bottom="1060" w:left="1300" w:right="1400"/>
          <w:pgNumType w:start="1"/>
        </w:sectPr>
      </w:pPr>
    </w:p>
    <w:p>
      <w:pPr>
        <w:pStyle w:val="BodyText"/>
        <w:rPr>
          <w:rFonts w:ascii="Times New Roman"/>
        </w:rPr>
      </w:pPr>
    </w:p>
    <w:p>
      <w:pPr>
        <w:pStyle w:val="BodyText"/>
        <w:rPr>
          <w:rFonts w:ascii="Times New Roman"/>
        </w:rPr>
      </w:pPr>
    </w:p>
    <w:p>
      <w:pPr>
        <w:pStyle w:val="BodyText"/>
        <w:spacing w:before="3"/>
        <w:rPr>
          <w:rFonts w:ascii="Times New Roman"/>
          <w:sz w:val="21"/>
        </w:rPr>
      </w:pPr>
    </w:p>
    <w:p>
      <w:pPr>
        <w:spacing w:before="91"/>
        <w:ind w:left="2445" w:right="2194" w:firstLine="0"/>
        <w:jc w:val="center"/>
        <w:rPr>
          <w:sz w:val="28"/>
        </w:rPr>
      </w:pPr>
      <w:r>
        <w:rPr>
          <w:sz w:val="28"/>
        </w:rPr>
        <w:t>BORRADOR</w:t>
      </w:r>
      <w:r>
        <w:rPr>
          <w:spacing w:val="-4"/>
          <w:sz w:val="28"/>
        </w:rPr>
        <w:t> </w:t>
      </w:r>
      <w:r>
        <w:rPr>
          <w:sz w:val="28"/>
        </w:rPr>
        <w:t>VERSIÓN</w:t>
      </w:r>
      <w:r>
        <w:rPr>
          <w:spacing w:val="-6"/>
          <w:sz w:val="28"/>
        </w:rPr>
        <w:t> </w:t>
      </w:r>
      <w:r>
        <w:rPr>
          <w:sz w:val="28"/>
        </w:rPr>
        <w:t>MAYO</w:t>
      </w:r>
      <w:r>
        <w:rPr>
          <w:spacing w:val="-3"/>
          <w:sz w:val="28"/>
        </w:rPr>
        <w:t> </w:t>
      </w:r>
      <w:r>
        <w:rPr>
          <w:spacing w:val="-4"/>
          <w:sz w:val="28"/>
        </w:rPr>
        <w:t>2021</w:t>
      </w:r>
    </w:p>
    <w:p>
      <w:pPr>
        <w:pStyle w:val="BodyText"/>
        <w:rPr>
          <w:sz w:val="30"/>
        </w:rPr>
      </w:pPr>
    </w:p>
    <w:p>
      <w:pPr>
        <w:pStyle w:val="Heading2"/>
        <w:spacing w:before="233"/>
      </w:pPr>
      <w:bookmarkStart w:name="_TOC_250032" w:id="1"/>
      <w:bookmarkEnd w:id="1"/>
      <w:r>
        <w:rPr>
          <w:color w:val="FF0000"/>
          <w:spacing w:val="-2"/>
        </w:rPr>
        <w:t>VALIDEZ</w:t>
      </w:r>
    </w:p>
    <w:p>
      <w:pPr>
        <w:pStyle w:val="BodyText"/>
        <w:spacing w:line="276" w:lineRule="auto" w:before="205"/>
        <w:ind w:left="978" w:right="864" w:hanging="10"/>
        <w:jc w:val="both"/>
      </w:pPr>
      <w:r>
        <w:rPr/>
        <w:t>Estas</w:t>
      </w:r>
      <w:r>
        <w:rPr>
          <w:spacing w:val="-6"/>
        </w:rPr>
        <w:t> </w:t>
      </w:r>
      <w:r>
        <w:rPr/>
        <w:t>directrices</w:t>
      </w:r>
      <w:r>
        <w:rPr>
          <w:spacing w:val="-4"/>
        </w:rPr>
        <w:t> </w:t>
      </w:r>
      <w:r>
        <w:rPr/>
        <w:t>han</w:t>
      </w:r>
      <w:r>
        <w:rPr>
          <w:spacing w:val="-7"/>
        </w:rPr>
        <w:t> </w:t>
      </w:r>
      <w:r>
        <w:rPr/>
        <w:t>sido</w:t>
      </w:r>
      <w:r>
        <w:rPr>
          <w:spacing w:val="-7"/>
        </w:rPr>
        <w:t> </w:t>
      </w:r>
      <w:r>
        <w:rPr/>
        <w:t>revisadas</w:t>
      </w:r>
      <w:r>
        <w:rPr>
          <w:spacing w:val="-6"/>
        </w:rPr>
        <w:t> </w:t>
      </w:r>
      <w:r>
        <w:rPr/>
        <w:t>y</w:t>
      </w:r>
      <w:r>
        <w:rPr>
          <w:spacing w:val="-3"/>
        </w:rPr>
        <w:t> </w:t>
      </w:r>
      <w:r>
        <w:rPr/>
        <w:t>entran</w:t>
      </w:r>
      <w:r>
        <w:rPr>
          <w:spacing w:val="-7"/>
        </w:rPr>
        <w:t> </w:t>
      </w:r>
      <w:r>
        <w:rPr/>
        <w:t>en</w:t>
      </w:r>
      <w:r>
        <w:rPr>
          <w:spacing w:val="-7"/>
        </w:rPr>
        <w:t> </w:t>
      </w:r>
      <w:r>
        <w:rPr/>
        <w:t>vigor</w:t>
      </w:r>
      <w:r>
        <w:rPr>
          <w:spacing w:val="-4"/>
        </w:rPr>
        <w:t> </w:t>
      </w:r>
      <w:r>
        <w:rPr/>
        <w:t>a</w:t>
      </w:r>
      <w:r>
        <w:rPr>
          <w:spacing w:val="-7"/>
        </w:rPr>
        <w:t> </w:t>
      </w:r>
      <w:r>
        <w:rPr/>
        <w:t>partir</w:t>
      </w:r>
      <w:r>
        <w:rPr>
          <w:spacing w:val="-6"/>
        </w:rPr>
        <w:t> </w:t>
      </w:r>
      <w:r>
        <w:rPr/>
        <w:t>del</w:t>
      </w:r>
      <w:r>
        <w:rPr>
          <w:spacing w:val="-8"/>
        </w:rPr>
        <w:t> </w:t>
      </w:r>
      <w:r>
        <w:rPr/>
        <w:t>1</w:t>
      </w:r>
      <w:r>
        <w:rPr>
          <w:spacing w:val="-7"/>
        </w:rPr>
        <w:t> </w:t>
      </w:r>
      <w:r>
        <w:rPr/>
        <w:t>de</w:t>
      </w:r>
      <w:r>
        <w:rPr>
          <w:spacing w:val="-7"/>
        </w:rPr>
        <w:t> </w:t>
      </w:r>
      <w:r>
        <w:rPr/>
        <w:t>julio</w:t>
      </w:r>
      <w:r>
        <w:rPr>
          <w:spacing w:val="-7"/>
        </w:rPr>
        <w:t> </w:t>
      </w:r>
      <w:r>
        <w:rPr/>
        <w:t>de</w:t>
      </w:r>
      <w:r>
        <w:rPr>
          <w:spacing w:val="-7"/>
        </w:rPr>
        <w:t> </w:t>
      </w:r>
      <w:r>
        <w:rPr/>
        <w:t>2021. Las directrices se revisan y se actualizan periódicamente para reflejar el marco regulatorio actual de la asignación y de la gestión de subvenciones de asistencia del Ministerio de Exteriores de Dinamarca.</w:t>
      </w:r>
    </w:p>
    <w:p>
      <w:pPr>
        <w:pStyle w:val="BodyText"/>
        <w:rPr>
          <w:sz w:val="22"/>
        </w:rPr>
      </w:pPr>
    </w:p>
    <w:p>
      <w:pPr>
        <w:pStyle w:val="BodyText"/>
        <w:spacing w:before="1"/>
        <w:rPr>
          <w:sz w:val="24"/>
        </w:rPr>
      </w:pPr>
    </w:p>
    <w:p>
      <w:pPr>
        <w:pStyle w:val="Heading2"/>
      </w:pPr>
      <w:bookmarkStart w:name="_TOC_250031" w:id="2"/>
      <w:r>
        <w:rPr>
          <w:color w:val="FF0000"/>
        </w:rPr>
        <w:t>INFORMACIÓN</w:t>
      </w:r>
      <w:r>
        <w:rPr>
          <w:color w:val="FF0000"/>
          <w:spacing w:val="-3"/>
        </w:rPr>
        <w:t> </w:t>
      </w:r>
      <w:r>
        <w:rPr>
          <w:color w:val="FF0000"/>
        </w:rPr>
        <w:t>DE</w:t>
      </w:r>
      <w:bookmarkEnd w:id="2"/>
      <w:r>
        <w:rPr>
          <w:color w:val="FF0000"/>
          <w:spacing w:val="-2"/>
        </w:rPr>
        <w:t> CONTACTO</w:t>
      </w:r>
    </w:p>
    <w:p>
      <w:pPr>
        <w:pStyle w:val="BodyText"/>
        <w:spacing w:line="283" w:lineRule="auto" w:before="206"/>
        <w:ind w:left="954" w:right="3046"/>
      </w:pPr>
      <w:r>
        <w:rPr/>
        <w:t>Danish</w:t>
      </w:r>
      <w:r>
        <w:rPr>
          <w:spacing w:val="-8"/>
        </w:rPr>
        <w:t> </w:t>
      </w:r>
      <w:r>
        <w:rPr/>
        <w:t>Institute</w:t>
      </w:r>
      <w:r>
        <w:rPr>
          <w:spacing w:val="-8"/>
        </w:rPr>
        <w:t> </w:t>
      </w:r>
      <w:r>
        <w:rPr/>
        <w:t>for</w:t>
      </w:r>
      <w:r>
        <w:rPr>
          <w:spacing w:val="-7"/>
        </w:rPr>
        <w:t> </w:t>
      </w:r>
      <w:r>
        <w:rPr/>
        <w:t>Parties</w:t>
      </w:r>
      <w:r>
        <w:rPr>
          <w:spacing w:val="-7"/>
        </w:rPr>
        <w:t> </w:t>
      </w:r>
      <w:r>
        <w:rPr/>
        <w:t>and</w:t>
      </w:r>
      <w:r>
        <w:rPr>
          <w:spacing w:val="-10"/>
        </w:rPr>
        <w:t> </w:t>
      </w:r>
      <w:r>
        <w:rPr/>
        <w:t>Democracy Jemtelandsgade 1</w:t>
      </w:r>
    </w:p>
    <w:p>
      <w:pPr>
        <w:pStyle w:val="BodyText"/>
        <w:spacing w:line="230" w:lineRule="exact"/>
        <w:ind w:left="954"/>
      </w:pPr>
      <w:r>
        <w:rPr/>
        <w:t>DK-2300</w:t>
      </w:r>
      <w:r>
        <w:rPr>
          <w:spacing w:val="-12"/>
        </w:rPr>
        <w:t> </w:t>
      </w:r>
      <w:r>
        <w:rPr/>
        <w:t>Copenhagen</w:t>
      </w:r>
      <w:r>
        <w:rPr>
          <w:spacing w:val="-10"/>
        </w:rPr>
        <w:t> </w:t>
      </w:r>
      <w:r>
        <w:rPr>
          <w:spacing w:val="-5"/>
        </w:rPr>
        <w:t>S.</w:t>
      </w:r>
    </w:p>
    <w:p>
      <w:pPr>
        <w:pStyle w:val="BodyText"/>
        <w:spacing w:before="161"/>
        <w:ind w:left="954"/>
      </w:pPr>
      <w:r>
        <w:rPr/>
        <w:t>Para</w:t>
      </w:r>
      <w:r>
        <w:rPr>
          <w:spacing w:val="-6"/>
        </w:rPr>
        <w:t> </w:t>
      </w:r>
      <w:r>
        <w:rPr/>
        <w:t>más</w:t>
      </w:r>
      <w:r>
        <w:rPr>
          <w:spacing w:val="-7"/>
        </w:rPr>
        <w:t> </w:t>
      </w:r>
      <w:r>
        <w:rPr/>
        <w:t>información</w:t>
      </w:r>
      <w:r>
        <w:rPr>
          <w:spacing w:val="-7"/>
        </w:rPr>
        <w:t> </w:t>
      </w:r>
      <w:r>
        <w:rPr/>
        <w:t>general</w:t>
      </w:r>
      <w:r>
        <w:rPr>
          <w:spacing w:val="-8"/>
        </w:rPr>
        <w:t> </w:t>
      </w:r>
      <w:r>
        <w:rPr/>
        <w:t>sobre</w:t>
      </w:r>
      <w:r>
        <w:rPr>
          <w:spacing w:val="-6"/>
        </w:rPr>
        <w:t> </w:t>
      </w:r>
      <w:r>
        <w:rPr/>
        <w:t>DIPD</w:t>
      </w:r>
      <w:r>
        <w:rPr>
          <w:spacing w:val="-7"/>
        </w:rPr>
        <w:t> </w:t>
      </w:r>
      <w:r>
        <w:rPr/>
        <w:t>por</w:t>
      </w:r>
      <w:r>
        <w:rPr>
          <w:spacing w:val="-7"/>
        </w:rPr>
        <w:t> </w:t>
      </w:r>
      <w:r>
        <w:rPr/>
        <w:t>favor</w:t>
      </w:r>
      <w:r>
        <w:rPr>
          <w:spacing w:val="-7"/>
        </w:rPr>
        <w:t> </w:t>
      </w:r>
      <w:r>
        <w:rPr/>
        <w:t>visite</w:t>
      </w:r>
      <w:r>
        <w:rPr>
          <w:spacing w:val="-3"/>
        </w:rPr>
        <w:t> </w:t>
      </w:r>
      <w:hyperlink r:id="rId11">
        <w:r>
          <w:rPr>
            <w:color w:val="0462C1"/>
            <w:spacing w:val="-2"/>
            <w:u w:val="single" w:color="0462C1"/>
          </w:rPr>
          <w:t>www.dipd.dk</w:t>
        </w:r>
      </w:hyperlink>
    </w:p>
    <w:p>
      <w:pPr>
        <w:pStyle w:val="BodyText"/>
      </w:pPr>
    </w:p>
    <w:p>
      <w:pPr>
        <w:pStyle w:val="BodyText"/>
        <w:spacing w:before="1"/>
      </w:pPr>
    </w:p>
    <w:p>
      <w:pPr>
        <w:pStyle w:val="Heading2"/>
        <w:spacing w:before="92"/>
      </w:pPr>
      <w:r>
        <w:rPr>
          <w:color w:val="FF0000"/>
          <w:spacing w:val="-2"/>
        </w:rPr>
        <w:t>ABREVIATURAS</w:t>
      </w:r>
    </w:p>
    <w:p>
      <w:pPr>
        <w:pStyle w:val="BodyText"/>
        <w:spacing w:before="206"/>
        <w:ind w:left="954"/>
        <w:jc w:val="both"/>
      </w:pPr>
      <w:r>
        <w:rPr/>
        <w:t>En</w:t>
      </w:r>
      <w:r>
        <w:rPr>
          <w:spacing w:val="-8"/>
        </w:rPr>
        <w:t> </w:t>
      </w:r>
      <w:r>
        <w:rPr/>
        <w:t>este</w:t>
      </w:r>
      <w:r>
        <w:rPr>
          <w:spacing w:val="-8"/>
        </w:rPr>
        <w:t> </w:t>
      </w:r>
      <w:r>
        <w:rPr/>
        <w:t>documento</w:t>
      </w:r>
      <w:r>
        <w:rPr>
          <w:spacing w:val="-6"/>
        </w:rPr>
        <w:t> </w:t>
      </w:r>
      <w:r>
        <w:rPr/>
        <w:t>se</w:t>
      </w:r>
      <w:r>
        <w:rPr>
          <w:spacing w:val="-6"/>
        </w:rPr>
        <w:t> </w:t>
      </w:r>
      <w:r>
        <w:rPr/>
        <w:t>han</w:t>
      </w:r>
      <w:r>
        <w:rPr>
          <w:spacing w:val="-4"/>
        </w:rPr>
        <w:t> </w:t>
      </w:r>
      <w:r>
        <w:rPr/>
        <w:t>utilizado</w:t>
      </w:r>
      <w:r>
        <w:rPr>
          <w:spacing w:val="-6"/>
        </w:rPr>
        <w:t> </w:t>
      </w:r>
      <w:r>
        <w:rPr/>
        <w:t>las</w:t>
      </w:r>
      <w:r>
        <w:rPr>
          <w:spacing w:val="-7"/>
        </w:rPr>
        <w:t> </w:t>
      </w:r>
      <w:r>
        <w:rPr/>
        <w:t>siguientes</w:t>
      </w:r>
      <w:r>
        <w:rPr>
          <w:spacing w:val="-5"/>
        </w:rPr>
        <w:t> </w:t>
      </w:r>
      <w:r>
        <w:rPr>
          <w:spacing w:val="-2"/>
        </w:rPr>
        <w:t>abreviaturas:</w:t>
      </w:r>
    </w:p>
    <w:p>
      <w:pPr>
        <w:pStyle w:val="BodyText"/>
        <w:rPr>
          <w:sz w:val="22"/>
        </w:rPr>
      </w:pPr>
    </w:p>
    <w:p>
      <w:pPr>
        <w:spacing w:line="278" w:lineRule="auto" w:before="170"/>
        <w:ind w:left="968" w:right="865" w:firstLine="0"/>
        <w:jc w:val="both"/>
        <w:rPr>
          <w:sz w:val="20"/>
        </w:rPr>
      </w:pPr>
      <w:r>
        <w:rPr>
          <w:b/>
          <w:sz w:val="20"/>
        </w:rPr>
        <w:t>Comité</w:t>
      </w:r>
      <w:r>
        <w:rPr>
          <w:b/>
          <w:spacing w:val="-10"/>
          <w:sz w:val="20"/>
        </w:rPr>
        <w:t> </w:t>
      </w:r>
      <w:r>
        <w:rPr>
          <w:b/>
          <w:sz w:val="20"/>
        </w:rPr>
        <w:t>de</w:t>
      </w:r>
      <w:r>
        <w:rPr>
          <w:b/>
          <w:spacing w:val="-10"/>
          <w:sz w:val="20"/>
        </w:rPr>
        <w:t> </w:t>
      </w:r>
      <w:r>
        <w:rPr>
          <w:b/>
          <w:sz w:val="20"/>
        </w:rPr>
        <w:t>Evaluación</w:t>
      </w:r>
      <w:r>
        <w:rPr>
          <w:b/>
          <w:sz w:val="20"/>
          <w:vertAlign w:val="superscript"/>
        </w:rPr>
        <w:t>1</w:t>
      </w:r>
      <w:r>
        <w:rPr>
          <w:b/>
          <w:sz w:val="20"/>
          <w:vertAlign w:val="baseline"/>
        </w:rPr>
        <w:t>:</w:t>
      </w:r>
      <w:r>
        <w:rPr>
          <w:b/>
          <w:spacing w:val="-9"/>
          <w:sz w:val="20"/>
          <w:vertAlign w:val="baseline"/>
        </w:rPr>
        <w:t> </w:t>
      </w:r>
      <w:r>
        <w:rPr>
          <w:sz w:val="20"/>
          <w:vertAlign w:val="baseline"/>
        </w:rPr>
        <w:t>El</w:t>
      </w:r>
      <w:r>
        <w:rPr>
          <w:spacing w:val="-11"/>
          <w:sz w:val="20"/>
          <w:vertAlign w:val="baseline"/>
        </w:rPr>
        <w:t> </w:t>
      </w:r>
      <w:r>
        <w:rPr>
          <w:sz w:val="20"/>
          <w:vertAlign w:val="baseline"/>
        </w:rPr>
        <w:t>comité</w:t>
      </w:r>
      <w:r>
        <w:rPr>
          <w:spacing w:val="-10"/>
          <w:sz w:val="20"/>
          <w:vertAlign w:val="baseline"/>
        </w:rPr>
        <w:t> </w:t>
      </w:r>
      <w:r>
        <w:rPr>
          <w:sz w:val="20"/>
          <w:vertAlign w:val="baseline"/>
        </w:rPr>
        <w:t>creado</w:t>
      </w:r>
      <w:r>
        <w:rPr>
          <w:spacing w:val="-10"/>
          <w:sz w:val="20"/>
          <w:vertAlign w:val="baseline"/>
        </w:rPr>
        <w:t> </w:t>
      </w:r>
      <w:r>
        <w:rPr>
          <w:sz w:val="20"/>
          <w:vertAlign w:val="baseline"/>
        </w:rPr>
        <w:t>por</w:t>
      </w:r>
      <w:r>
        <w:rPr>
          <w:spacing w:val="-9"/>
          <w:sz w:val="20"/>
          <w:vertAlign w:val="baseline"/>
        </w:rPr>
        <w:t> </w:t>
      </w:r>
      <w:r>
        <w:rPr>
          <w:sz w:val="20"/>
          <w:vertAlign w:val="baseline"/>
        </w:rPr>
        <w:t>la</w:t>
      </w:r>
      <w:r>
        <w:rPr>
          <w:spacing w:val="-10"/>
          <w:sz w:val="20"/>
          <w:vertAlign w:val="baseline"/>
        </w:rPr>
        <w:t> </w:t>
      </w:r>
      <w:r>
        <w:rPr>
          <w:sz w:val="20"/>
          <w:vertAlign w:val="baseline"/>
        </w:rPr>
        <w:t>ejecutiva</w:t>
      </w:r>
      <w:r>
        <w:rPr>
          <w:spacing w:val="-10"/>
          <w:sz w:val="20"/>
          <w:vertAlign w:val="baseline"/>
        </w:rPr>
        <w:t> </w:t>
      </w:r>
      <w:r>
        <w:rPr>
          <w:sz w:val="20"/>
          <w:vertAlign w:val="baseline"/>
        </w:rPr>
        <w:t>de</w:t>
      </w:r>
      <w:r>
        <w:rPr>
          <w:spacing w:val="-10"/>
          <w:sz w:val="20"/>
          <w:vertAlign w:val="baseline"/>
        </w:rPr>
        <w:t> </w:t>
      </w:r>
      <w:r>
        <w:rPr>
          <w:sz w:val="20"/>
          <w:vertAlign w:val="baseline"/>
        </w:rPr>
        <w:t>DIPD</w:t>
      </w:r>
      <w:r>
        <w:rPr>
          <w:spacing w:val="-9"/>
          <w:sz w:val="20"/>
          <w:vertAlign w:val="baseline"/>
        </w:rPr>
        <w:t> </w:t>
      </w:r>
      <w:r>
        <w:rPr>
          <w:sz w:val="20"/>
          <w:vertAlign w:val="baseline"/>
        </w:rPr>
        <w:t>para</w:t>
      </w:r>
      <w:r>
        <w:rPr>
          <w:spacing w:val="-10"/>
          <w:sz w:val="20"/>
          <w:vertAlign w:val="baseline"/>
        </w:rPr>
        <w:t> </w:t>
      </w:r>
      <w:r>
        <w:rPr>
          <w:sz w:val="20"/>
          <w:vertAlign w:val="baseline"/>
        </w:rPr>
        <w:t>evaluar</w:t>
      </w:r>
      <w:r>
        <w:rPr>
          <w:spacing w:val="-9"/>
          <w:sz w:val="20"/>
          <w:vertAlign w:val="baseline"/>
        </w:rPr>
        <w:t> </w:t>
      </w:r>
      <w:r>
        <w:rPr>
          <w:sz w:val="20"/>
          <w:vertAlign w:val="baseline"/>
        </w:rPr>
        <w:t>los Acuerdos Marco.</w:t>
      </w:r>
    </w:p>
    <w:p>
      <w:pPr>
        <w:pStyle w:val="BodyText"/>
        <w:spacing w:before="8"/>
        <w:rPr>
          <w:sz w:val="22"/>
        </w:rPr>
      </w:pPr>
    </w:p>
    <w:p>
      <w:pPr>
        <w:pStyle w:val="BodyText"/>
        <w:spacing w:line="276" w:lineRule="auto"/>
        <w:ind w:left="968" w:right="859"/>
        <w:jc w:val="both"/>
      </w:pPr>
      <w:r>
        <w:rPr>
          <w:b/>
        </w:rPr>
        <w:t>Socio</w:t>
      </w:r>
      <w:r>
        <w:rPr>
          <w:b/>
          <w:spacing w:val="-11"/>
        </w:rPr>
        <w:t> </w:t>
      </w:r>
      <w:r>
        <w:rPr>
          <w:b/>
        </w:rPr>
        <w:t>del</w:t>
      </w:r>
      <w:r>
        <w:rPr>
          <w:b/>
          <w:spacing w:val="-11"/>
        </w:rPr>
        <w:t> </w:t>
      </w:r>
      <w:r>
        <w:rPr>
          <w:b/>
        </w:rPr>
        <w:t>encargo</w:t>
      </w:r>
      <w:r>
        <w:rPr>
          <w:b/>
          <w:vertAlign w:val="superscript"/>
        </w:rPr>
        <w:t>2</w:t>
      </w:r>
      <w:r>
        <w:rPr>
          <w:b/>
          <w:vertAlign w:val="baseline"/>
        </w:rPr>
        <w:t>:</w:t>
      </w:r>
      <w:r>
        <w:rPr>
          <w:b/>
          <w:spacing w:val="-10"/>
          <w:vertAlign w:val="baseline"/>
        </w:rPr>
        <w:t> </w:t>
      </w:r>
      <w:r>
        <w:rPr>
          <w:vertAlign w:val="baseline"/>
        </w:rPr>
        <w:t>El</w:t>
      </w:r>
      <w:r>
        <w:rPr>
          <w:spacing w:val="-10"/>
          <w:vertAlign w:val="baseline"/>
        </w:rPr>
        <w:t> </w:t>
      </w:r>
      <w:r>
        <w:rPr>
          <w:vertAlign w:val="baseline"/>
        </w:rPr>
        <w:t>partido</w:t>
      </w:r>
      <w:r>
        <w:rPr>
          <w:spacing w:val="-12"/>
          <w:vertAlign w:val="baseline"/>
        </w:rPr>
        <w:t> </w:t>
      </w:r>
      <w:r>
        <w:rPr>
          <w:vertAlign w:val="baseline"/>
        </w:rPr>
        <w:t>danés</w:t>
      </w:r>
      <w:r>
        <w:rPr>
          <w:spacing w:val="-8"/>
          <w:vertAlign w:val="baseline"/>
        </w:rPr>
        <w:t> </w:t>
      </w:r>
      <w:r>
        <w:rPr>
          <w:vertAlign w:val="baseline"/>
        </w:rPr>
        <w:t>que</w:t>
      </w:r>
      <w:r>
        <w:rPr>
          <w:spacing w:val="-9"/>
          <w:vertAlign w:val="baseline"/>
        </w:rPr>
        <w:t> </w:t>
      </w:r>
      <w:r>
        <w:rPr>
          <w:vertAlign w:val="baseline"/>
        </w:rPr>
        <w:t>se</w:t>
      </w:r>
      <w:r>
        <w:rPr>
          <w:spacing w:val="-12"/>
          <w:vertAlign w:val="baseline"/>
        </w:rPr>
        <w:t> </w:t>
      </w:r>
      <w:r>
        <w:rPr>
          <w:vertAlign w:val="baseline"/>
        </w:rPr>
        <w:t>subscribe</w:t>
      </w:r>
      <w:r>
        <w:rPr>
          <w:spacing w:val="-9"/>
          <w:vertAlign w:val="baseline"/>
        </w:rPr>
        <w:t> </w:t>
      </w:r>
      <w:r>
        <w:rPr>
          <w:vertAlign w:val="baseline"/>
        </w:rPr>
        <w:t>al</w:t>
      </w:r>
      <w:r>
        <w:rPr>
          <w:spacing w:val="-10"/>
          <w:vertAlign w:val="baseline"/>
        </w:rPr>
        <w:t> </w:t>
      </w:r>
      <w:r>
        <w:rPr>
          <w:vertAlign w:val="baseline"/>
        </w:rPr>
        <w:t>Acuerdo</w:t>
      </w:r>
      <w:r>
        <w:rPr>
          <w:spacing w:val="-12"/>
          <w:vertAlign w:val="baseline"/>
        </w:rPr>
        <w:t> </w:t>
      </w:r>
      <w:r>
        <w:rPr>
          <w:vertAlign w:val="baseline"/>
        </w:rPr>
        <w:t>Marco</w:t>
      </w:r>
      <w:r>
        <w:rPr>
          <w:spacing w:val="-12"/>
          <w:vertAlign w:val="baseline"/>
        </w:rPr>
        <w:t> </w:t>
      </w:r>
      <w:r>
        <w:rPr>
          <w:vertAlign w:val="baseline"/>
        </w:rPr>
        <w:t>con</w:t>
      </w:r>
      <w:r>
        <w:rPr>
          <w:spacing w:val="-3"/>
          <w:vertAlign w:val="baseline"/>
        </w:rPr>
        <w:t> </w:t>
      </w:r>
      <w:r>
        <w:rPr>
          <w:vertAlign w:val="baseline"/>
        </w:rPr>
        <w:t>DIPD para trabajar con sus socios en países en desarrollo.</w:t>
      </w:r>
    </w:p>
    <w:p>
      <w:pPr>
        <w:pStyle w:val="BodyText"/>
        <w:spacing w:before="1"/>
        <w:rPr>
          <w:sz w:val="23"/>
        </w:rPr>
      </w:pPr>
    </w:p>
    <w:p>
      <w:pPr>
        <w:pStyle w:val="BodyText"/>
        <w:spacing w:line="276" w:lineRule="auto"/>
        <w:ind w:left="968" w:right="866"/>
        <w:jc w:val="both"/>
      </w:pPr>
      <w:r>
        <w:rPr>
          <w:b/>
        </w:rPr>
        <w:t>DIPD:</w:t>
      </w:r>
      <w:r>
        <w:rPr>
          <w:b/>
          <w:spacing w:val="-10"/>
        </w:rPr>
        <w:t> </w:t>
      </w:r>
      <w:r>
        <w:rPr/>
        <w:t>En</w:t>
      </w:r>
      <w:r>
        <w:rPr>
          <w:spacing w:val="-12"/>
        </w:rPr>
        <w:t> </w:t>
      </w:r>
      <w:r>
        <w:rPr/>
        <w:t>inglés</w:t>
      </w:r>
      <w:r>
        <w:rPr>
          <w:spacing w:val="-13"/>
        </w:rPr>
        <w:t> </w:t>
      </w:r>
      <w:r>
        <w:rPr/>
        <w:t>Danish</w:t>
      </w:r>
      <w:r>
        <w:rPr>
          <w:spacing w:val="-12"/>
        </w:rPr>
        <w:t> </w:t>
      </w:r>
      <w:r>
        <w:rPr/>
        <w:t>Institute</w:t>
      </w:r>
      <w:r>
        <w:rPr>
          <w:spacing w:val="-14"/>
        </w:rPr>
        <w:t> </w:t>
      </w:r>
      <w:r>
        <w:rPr/>
        <w:t>for</w:t>
      </w:r>
      <w:r>
        <w:rPr>
          <w:spacing w:val="-13"/>
        </w:rPr>
        <w:t> </w:t>
      </w:r>
      <w:r>
        <w:rPr/>
        <w:t>Parties</w:t>
      </w:r>
      <w:r>
        <w:rPr>
          <w:spacing w:val="-10"/>
        </w:rPr>
        <w:t> </w:t>
      </w:r>
      <w:r>
        <w:rPr/>
        <w:t>and</w:t>
      </w:r>
      <w:r>
        <w:rPr>
          <w:spacing w:val="-14"/>
        </w:rPr>
        <w:t> </w:t>
      </w:r>
      <w:r>
        <w:rPr/>
        <w:t>Democracy,</w:t>
      </w:r>
      <w:r>
        <w:rPr>
          <w:spacing w:val="-14"/>
        </w:rPr>
        <w:t> </w:t>
      </w:r>
      <w:r>
        <w:rPr/>
        <w:t>en</w:t>
      </w:r>
      <w:r>
        <w:rPr>
          <w:spacing w:val="-12"/>
        </w:rPr>
        <w:t> </w:t>
      </w:r>
      <w:r>
        <w:rPr/>
        <w:t>danés</w:t>
      </w:r>
      <w:r>
        <w:rPr>
          <w:spacing w:val="-12"/>
        </w:rPr>
        <w:t> </w:t>
      </w:r>
      <w:r>
        <w:rPr/>
        <w:t>Dansk</w:t>
      </w:r>
      <w:r>
        <w:rPr>
          <w:spacing w:val="-12"/>
        </w:rPr>
        <w:t> </w:t>
      </w:r>
      <w:r>
        <w:rPr/>
        <w:t>Institut for Partier og Demokrati, en español Instituto Danés para los Partidos y la </w:t>
      </w:r>
      <w:r>
        <w:rPr>
          <w:spacing w:val="-2"/>
        </w:rPr>
        <w:t>Democracia.</w:t>
      </w:r>
    </w:p>
    <w:p>
      <w:pPr>
        <w:pStyle w:val="BodyText"/>
        <w:spacing w:before="10"/>
        <w:rPr>
          <w:sz w:val="22"/>
        </w:rPr>
      </w:pPr>
    </w:p>
    <w:p>
      <w:pPr>
        <w:pStyle w:val="BodyText"/>
        <w:spacing w:line="278" w:lineRule="auto"/>
        <w:ind w:left="968" w:right="864"/>
        <w:jc w:val="both"/>
      </w:pPr>
      <w:r>
        <w:rPr>
          <w:b/>
        </w:rPr>
        <w:t>Danida: </w:t>
      </w:r>
      <w:r>
        <w:rPr/>
        <w:t>La sección del Ministerio de Exteriores de Dinamarca que gestiona la cooperación al Desarrollo.</w:t>
      </w:r>
    </w:p>
    <w:p>
      <w:pPr>
        <w:pStyle w:val="BodyText"/>
        <w:spacing w:before="8"/>
        <w:rPr>
          <w:sz w:val="22"/>
        </w:rPr>
      </w:pPr>
    </w:p>
    <w:p>
      <w:pPr>
        <w:spacing w:before="0"/>
        <w:ind w:left="968" w:right="0" w:firstLine="0"/>
        <w:jc w:val="both"/>
        <w:rPr>
          <w:sz w:val="20"/>
        </w:rPr>
      </w:pPr>
      <w:r>
        <w:rPr>
          <w:b/>
          <w:sz w:val="20"/>
        </w:rPr>
        <w:t>Partido:</w:t>
      </w:r>
      <w:r>
        <w:rPr>
          <w:b/>
          <w:spacing w:val="-5"/>
          <w:sz w:val="20"/>
        </w:rPr>
        <w:t> </w:t>
      </w:r>
      <w:r>
        <w:rPr>
          <w:sz w:val="20"/>
        </w:rPr>
        <w:t>El</w:t>
      </w:r>
      <w:r>
        <w:rPr>
          <w:spacing w:val="-7"/>
          <w:sz w:val="20"/>
        </w:rPr>
        <w:t> </w:t>
      </w:r>
      <w:r>
        <w:rPr>
          <w:sz w:val="20"/>
        </w:rPr>
        <w:t>partido</w:t>
      </w:r>
      <w:r>
        <w:rPr>
          <w:spacing w:val="-7"/>
          <w:sz w:val="20"/>
        </w:rPr>
        <w:t> </w:t>
      </w:r>
      <w:r>
        <w:rPr>
          <w:sz w:val="20"/>
        </w:rPr>
        <w:t>político</w:t>
      </w:r>
      <w:r>
        <w:rPr>
          <w:spacing w:val="-6"/>
          <w:sz w:val="20"/>
        </w:rPr>
        <w:t> </w:t>
      </w:r>
      <w:r>
        <w:rPr>
          <w:spacing w:val="-2"/>
          <w:sz w:val="20"/>
        </w:rPr>
        <w:t>danés.</w:t>
      </w:r>
    </w:p>
    <w:p>
      <w:pPr>
        <w:pStyle w:val="BodyText"/>
        <w:spacing w:before="10"/>
        <w:rPr>
          <w:sz w:val="25"/>
        </w:rPr>
      </w:pPr>
    </w:p>
    <w:p>
      <w:pPr>
        <w:pStyle w:val="BodyText"/>
        <w:spacing w:line="278" w:lineRule="auto"/>
        <w:ind w:left="978" w:right="866" w:hanging="10"/>
        <w:jc w:val="both"/>
      </w:pPr>
      <w:r>
        <w:rPr>
          <w:b/>
        </w:rPr>
        <w:t>Socio</w:t>
      </w:r>
      <w:r>
        <w:rPr>
          <w:b/>
          <w:vertAlign w:val="superscript"/>
        </w:rPr>
        <w:t>3</w:t>
      </w:r>
      <w:r>
        <w:rPr>
          <w:b/>
          <w:vertAlign w:val="baseline"/>
        </w:rPr>
        <w:t>: </w:t>
      </w:r>
      <w:r>
        <w:rPr>
          <w:vertAlign w:val="baseline"/>
        </w:rPr>
        <w:t>El socio del acuerdo, es decir, un partido político, una organización o un centro de estudios (</w:t>
      </w:r>
      <w:r>
        <w:rPr>
          <w:i/>
          <w:vertAlign w:val="baseline"/>
        </w:rPr>
        <w:t>think tank) </w:t>
      </w:r>
      <w:r>
        <w:rPr>
          <w:vertAlign w:val="baseline"/>
        </w:rPr>
        <w:t>del país en desarrollo.</w:t>
      </w:r>
    </w:p>
    <w:p>
      <w:pPr>
        <w:pStyle w:val="BodyText"/>
        <w:spacing w:before="8"/>
        <w:rPr>
          <w:sz w:val="22"/>
        </w:rPr>
      </w:pPr>
    </w:p>
    <w:p>
      <w:pPr>
        <w:spacing w:line="276" w:lineRule="auto" w:before="0"/>
        <w:ind w:left="978" w:right="859" w:hanging="10"/>
        <w:jc w:val="both"/>
        <w:rPr>
          <w:sz w:val="20"/>
        </w:rPr>
      </w:pPr>
      <w:r>
        <w:rPr>
          <w:b/>
          <w:sz w:val="20"/>
        </w:rPr>
        <w:t>MoFA: </w:t>
      </w:r>
      <w:r>
        <w:rPr>
          <w:sz w:val="20"/>
        </w:rPr>
        <w:t>se refiere a las siglas en inglés de </w:t>
      </w:r>
      <w:r>
        <w:rPr>
          <w:i/>
          <w:sz w:val="20"/>
        </w:rPr>
        <w:t>Ministry of Foreign Affairs</w:t>
      </w:r>
      <w:r>
        <w:rPr>
          <w:sz w:val="20"/>
        </w:rPr>
        <w:t>, en español Ministerio de Asuntos Exteriores de Dinamarca.</w:t>
      </w:r>
    </w:p>
    <w:p>
      <w:pPr>
        <w:pStyle w:val="BodyText"/>
      </w:pPr>
    </w:p>
    <w:p>
      <w:pPr>
        <w:pStyle w:val="BodyText"/>
      </w:pPr>
    </w:p>
    <w:p>
      <w:pPr>
        <w:pStyle w:val="BodyText"/>
      </w:pPr>
    </w:p>
    <w:p>
      <w:pPr>
        <w:pStyle w:val="BodyText"/>
        <w:spacing w:before="6"/>
        <w:rPr>
          <w:sz w:val="29"/>
        </w:rPr>
      </w:pPr>
      <w:r>
        <w:rPr/>
        <w:pict>
          <v:rect style="position:absolute;margin-left:113.419998pt;margin-top:18.207251pt;width:144.020pt;height:.47998pt;mso-position-horizontal-relative:page;mso-position-vertical-relative:paragraph;z-index:-15725568;mso-wrap-distance-left:0;mso-wrap-distance-right:0" id="docshape12" filled="true" fillcolor="#000000" stroked="false">
            <v:fill type="solid"/>
            <w10:wrap type="topAndBottom"/>
          </v:rect>
        </w:pict>
      </w:r>
    </w:p>
    <w:p>
      <w:pPr>
        <w:spacing w:before="83"/>
        <w:ind w:left="968" w:right="0" w:firstLine="0"/>
        <w:jc w:val="left"/>
        <w:rPr>
          <w:i/>
          <w:sz w:val="20"/>
        </w:rPr>
      </w:pPr>
      <w:r>
        <w:rPr>
          <w:position w:val="6"/>
          <w:sz w:val="13"/>
        </w:rPr>
        <w:t>1</w:t>
      </w:r>
      <w:r>
        <w:rPr>
          <w:spacing w:val="11"/>
          <w:position w:val="6"/>
          <w:sz w:val="13"/>
        </w:rPr>
        <w:t> </w:t>
      </w:r>
      <w:r>
        <w:rPr>
          <w:sz w:val="20"/>
        </w:rPr>
        <w:t>En</w:t>
      </w:r>
      <w:r>
        <w:rPr>
          <w:spacing w:val="-6"/>
          <w:sz w:val="20"/>
        </w:rPr>
        <w:t> </w:t>
      </w:r>
      <w:r>
        <w:rPr>
          <w:sz w:val="20"/>
        </w:rPr>
        <w:t>inglés</w:t>
      </w:r>
      <w:r>
        <w:rPr>
          <w:spacing w:val="-4"/>
          <w:sz w:val="20"/>
        </w:rPr>
        <w:t> </w:t>
      </w:r>
      <w:r>
        <w:rPr>
          <w:i/>
          <w:sz w:val="20"/>
        </w:rPr>
        <w:t>Appraisal</w:t>
      </w:r>
      <w:r>
        <w:rPr>
          <w:i/>
          <w:spacing w:val="-8"/>
          <w:sz w:val="20"/>
        </w:rPr>
        <w:t> </w:t>
      </w:r>
      <w:r>
        <w:rPr>
          <w:i/>
          <w:sz w:val="20"/>
        </w:rPr>
        <w:t>Committee</w:t>
      </w:r>
      <w:r>
        <w:rPr>
          <w:i/>
          <w:spacing w:val="-8"/>
          <w:sz w:val="20"/>
        </w:rPr>
        <w:t> </w:t>
      </w:r>
      <w:r>
        <w:rPr>
          <w:i/>
          <w:spacing w:val="-4"/>
          <w:sz w:val="20"/>
        </w:rPr>
        <w:t>(AC)</w:t>
      </w:r>
    </w:p>
    <w:p>
      <w:pPr>
        <w:spacing w:line="229" w:lineRule="exact" w:before="1"/>
        <w:ind w:left="968" w:right="0" w:firstLine="0"/>
        <w:jc w:val="left"/>
        <w:rPr>
          <w:i/>
          <w:sz w:val="20"/>
        </w:rPr>
      </w:pPr>
      <w:r>
        <w:rPr>
          <w:position w:val="6"/>
          <w:sz w:val="13"/>
        </w:rPr>
        <w:t>2</w:t>
      </w:r>
      <w:r>
        <w:rPr>
          <w:spacing w:val="11"/>
          <w:position w:val="6"/>
          <w:sz w:val="13"/>
        </w:rPr>
        <w:t> </w:t>
      </w:r>
      <w:r>
        <w:rPr>
          <w:sz w:val="20"/>
        </w:rPr>
        <w:t>En</w:t>
      </w:r>
      <w:r>
        <w:rPr>
          <w:spacing w:val="-6"/>
          <w:sz w:val="20"/>
        </w:rPr>
        <w:t> </w:t>
      </w:r>
      <w:r>
        <w:rPr>
          <w:sz w:val="20"/>
        </w:rPr>
        <w:t>inglés</w:t>
      </w:r>
      <w:r>
        <w:rPr>
          <w:spacing w:val="-5"/>
          <w:sz w:val="20"/>
        </w:rPr>
        <w:t> </w:t>
      </w:r>
      <w:r>
        <w:rPr>
          <w:i/>
          <w:sz w:val="20"/>
        </w:rPr>
        <w:t>Engagement</w:t>
      </w:r>
      <w:r>
        <w:rPr>
          <w:i/>
          <w:spacing w:val="-6"/>
          <w:sz w:val="20"/>
        </w:rPr>
        <w:t> </w:t>
      </w:r>
      <w:r>
        <w:rPr>
          <w:i/>
          <w:sz w:val="20"/>
        </w:rPr>
        <w:t>Partner</w:t>
      </w:r>
      <w:r>
        <w:rPr>
          <w:i/>
          <w:spacing w:val="-7"/>
          <w:sz w:val="20"/>
        </w:rPr>
        <w:t> </w:t>
      </w:r>
      <w:r>
        <w:rPr>
          <w:i/>
          <w:spacing w:val="-4"/>
          <w:sz w:val="20"/>
        </w:rPr>
        <w:t>(EP)</w:t>
      </w:r>
    </w:p>
    <w:p>
      <w:pPr>
        <w:spacing w:line="229" w:lineRule="exact" w:before="0"/>
        <w:ind w:left="968" w:right="0" w:firstLine="0"/>
        <w:jc w:val="left"/>
        <w:rPr>
          <w:i/>
          <w:sz w:val="20"/>
        </w:rPr>
      </w:pPr>
      <w:r>
        <w:rPr/>
        <w:pict>
          <v:line style="position:absolute;mso-position-horizontal-relative:page;mso-position-vertical-relative:paragraph;z-index:15732224" from="111.949997pt,40.970375pt" to="249.499997pt,40.970375pt" stroked="true" strokeweight=".96pt" strokecolor="#000000">
            <v:stroke dashstyle="shortdot"/>
            <w10:wrap type="none"/>
          </v:line>
        </w:pict>
      </w:r>
      <w:r>
        <w:rPr>
          <w:position w:val="6"/>
          <w:sz w:val="13"/>
        </w:rPr>
        <w:t>3</w:t>
      </w:r>
      <w:r>
        <w:rPr>
          <w:spacing w:val="13"/>
          <w:position w:val="6"/>
          <w:sz w:val="13"/>
        </w:rPr>
        <w:t> </w:t>
      </w:r>
      <w:r>
        <w:rPr>
          <w:sz w:val="20"/>
        </w:rPr>
        <w:t>En</w:t>
      </w:r>
      <w:r>
        <w:rPr>
          <w:spacing w:val="-4"/>
          <w:sz w:val="20"/>
        </w:rPr>
        <w:t> </w:t>
      </w:r>
      <w:r>
        <w:rPr>
          <w:sz w:val="20"/>
        </w:rPr>
        <w:t>inglés</w:t>
      </w:r>
      <w:r>
        <w:rPr>
          <w:spacing w:val="-2"/>
          <w:sz w:val="20"/>
        </w:rPr>
        <w:t> </w:t>
      </w:r>
      <w:r>
        <w:rPr>
          <w:i/>
          <w:spacing w:val="-2"/>
          <w:sz w:val="20"/>
        </w:rPr>
        <w:t>Partner</w:t>
      </w:r>
    </w:p>
    <w:p>
      <w:pPr>
        <w:spacing w:after="0" w:line="229" w:lineRule="exact"/>
        <w:jc w:val="left"/>
        <w:rPr>
          <w:sz w:val="20"/>
        </w:rPr>
        <w:sectPr>
          <w:headerReference w:type="default" r:id="rId9"/>
          <w:footerReference w:type="default" r:id="rId10"/>
          <w:pgSz w:w="11910" w:h="16850"/>
          <w:pgMar w:header="718" w:footer="843" w:top="940" w:bottom="1040" w:left="1300" w:right="1400"/>
        </w:sectPr>
      </w:pPr>
    </w:p>
    <w:p>
      <w:pPr>
        <w:pStyle w:val="BodyText"/>
        <w:rPr>
          <w:i/>
        </w:rPr>
      </w:pPr>
    </w:p>
    <w:p>
      <w:pPr>
        <w:pStyle w:val="BodyText"/>
        <w:rPr>
          <w:i/>
        </w:rPr>
      </w:pPr>
    </w:p>
    <w:p>
      <w:pPr>
        <w:pStyle w:val="BodyText"/>
        <w:rPr>
          <w:i/>
        </w:rPr>
      </w:pPr>
    </w:p>
    <w:p>
      <w:pPr>
        <w:pStyle w:val="Heading1"/>
        <w:spacing w:before="236"/>
        <w:ind w:left="116" w:firstLine="0"/>
      </w:pPr>
      <w:r>
        <w:rPr>
          <w:color w:val="808080"/>
          <w:spacing w:val="-2"/>
        </w:rPr>
        <w:t>PREFACIO</w:t>
      </w:r>
    </w:p>
    <w:p>
      <w:pPr>
        <w:pStyle w:val="BodyText"/>
        <w:spacing w:before="7"/>
        <w:rPr>
          <w:sz w:val="3"/>
        </w:rPr>
      </w:pPr>
      <w:r>
        <w:rPr/>
        <w:pict>
          <v:shape style="position:absolute;margin-left:111.980003pt;margin-top:3.286412pt;width:130.5pt;height:13.6pt;mso-position-horizontal-relative:page;mso-position-vertical-relative:paragraph;z-index:-15724544;mso-wrap-distance-left:0;mso-wrap-distance-right:0" id="docshape15" coordorigin="2240,66" coordsize="2610,272" path="m4849,66l2240,66,2240,68,2240,75,2240,337,4849,337,4849,75,4849,68,4849,66xe" filled="true" fillcolor="#ff0000" stroked="false">
            <v:path arrowok="t"/>
            <v:fill type="solid"/>
            <w10:wrap type="topAndBottom"/>
          </v:shape>
        </w:pict>
      </w:r>
    </w:p>
    <w:p>
      <w:pPr>
        <w:pStyle w:val="BodyText"/>
      </w:pPr>
    </w:p>
    <w:p>
      <w:pPr>
        <w:pStyle w:val="BodyText"/>
      </w:pPr>
    </w:p>
    <w:p>
      <w:pPr>
        <w:pStyle w:val="BodyText"/>
        <w:spacing w:before="8"/>
      </w:pPr>
    </w:p>
    <w:p>
      <w:pPr>
        <w:pStyle w:val="BodyText"/>
        <w:spacing w:line="276" w:lineRule="auto" w:before="93"/>
        <w:ind w:left="116" w:right="861"/>
        <w:jc w:val="both"/>
      </w:pPr>
      <w:r>
        <w:rPr/>
        <w:t>El Instituto Danés para los Partidos y la Democracia (DIPD) es lo que en Dinamarca se categoriza como una "institución pública independiente". Esto significa que DIPD sigue las reglas y regulaciones establecidas por y para el</w:t>
      </w:r>
      <w:r>
        <w:rPr>
          <w:spacing w:val="-1"/>
        </w:rPr>
        <w:t> </w:t>
      </w:r>
      <w:r>
        <w:rPr/>
        <w:t>sector público. Esta es también la razón por la</w:t>
      </w:r>
      <w:r>
        <w:rPr>
          <w:spacing w:val="-2"/>
        </w:rPr>
        <w:t> </w:t>
      </w:r>
      <w:r>
        <w:rPr/>
        <w:t>que</w:t>
      </w:r>
      <w:r>
        <w:rPr>
          <w:spacing w:val="-2"/>
        </w:rPr>
        <w:t> </w:t>
      </w:r>
      <w:r>
        <w:rPr/>
        <w:t>las</w:t>
      </w:r>
      <w:r>
        <w:rPr>
          <w:spacing w:val="-1"/>
        </w:rPr>
        <w:t> </w:t>
      </w:r>
      <w:r>
        <w:rPr/>
        <w:t>directrices</w:t>
      </w:r>
      <w:r>
        <w:rPr>
          <w:spacing w:val="-1"/>
        </w:rPr>
        <w:t> </w:t>
      </w:r>
      <w:r>
        <w:rPr/>
        <w:t>del</w:t>
      </w:r>
      <w:r>
        <w:rPr>
          <w:spacing w:val="-3"/>
        </w:rPr>
        <w:t> </w:t>
      </w:r>
      <w:r>
        <w:rPr/>
        <w:t>formato</w:t>
      </w:r>
      <w:r>
        <w:rPr>
          <w:spacing w:val="-2"/>
        </w:rPr>
        <w:t> </w:t>
      </w:r>
      <w:r>
        <w:rPr/>
        <w:t>del</w:t>
      </w:r>
      <w:r>
        <w:rPr>
          <w:spacing w:val="-1"/>
        </w:rPr>
        <w:t> </w:t>
      </w:r>
      <w:r>
        <w:rPr/>
        <w:t>Acuerdo Marco</w:t>
      </w:r>
      <w:r>
        <w:rPr>
          <w:spacing w:val="-2"/>
        </w:rPr>
        <w:t> </w:t>
      </w:r>
      <w:r>
        <w:rPr/>
        <w:t>y</w:t>
      </w:r>
      <w:r>
        <w:rPr>
          <w:spacing w:val="-1"/>
        </w:rPr>
        <w:t> </w:t>
      </w:r>
      <w:r>
        <w:rPr/>
        <w:t>de</w:t>
      </w:r>
      <w:r>
        <w:rPr>
          <w:spacing w:val="-3"/>
        </w:rPr>
        <w:t> </w:t>
      </w:r>
      <w:r>
        <w:rPr/>
        <w:t>la</w:t>
      </w:r>
      <w:r>
        <w:rPr>
          <w:spacing w:val="-2"/>
        </w:rPr>
        <w:t> </w:t>
      </w:r>
      <w:r>
        <w:rPr/>
        <w:t>administración que</w:t>
      </w:r>
      <w:r>
        <w:rPr>
          <w:spacing w:val="-2"/>
        </w:rPr>
        <w:t> </w:t>
      </w:r>
      <w:r>
        <w:rPr/>
        <w:t>se presentan en este documento siguen las pautas establecidas por el Ministerio de Asuntos Exteriores danés, que gestiona los fondos otorgados a DIPD por el Parlamento Danés.</w:t>
      </w:r>
    </w:p>
    <w:p>
      <w:pPr>
        <w:pStyle w:val="BodyText"/>
        <w:spacing w:line="276" w:lineRule="auto" w:before="140"/>
        <w:ind w:left="116" w:right="863"/>
        <w:jc w:val="both"/>
      </w:pPr>
      <w:r>
        <w:rPr/>
        <w:t>Si bien esto es importante para nuestro trabajo, es igualmente importante afirmar que DIPD es</w:t>
      </w:r>
      <w:r>
        <w:rPr>
          <w:spacing w:val="-14"/>
        </w:rPr>
        <w:t> </w:t>
      </w:r>
      <w:r>
        <w:rPr/>
        <w:t>una</w:t>
      </w:r>
      <w:r>
        <w:rPr>
          <w:spacing w:val="-14"/>
        </w:rPr>
        <w:t> </w:t>
      </w:r>
      <w:r>
        <w:rPr/>
        <w:t>institución</w:t>
      </w:r>
      <w:r>
        <w:rPr>
          <w:spacing w:val="-14"/>
        </w:rPr>
        <w:t> </w:t>
      </w:r>
      <w:r>
        <w:rPr/>
        <w:t>totalmente</w:t>
      </w:r>
      <w:r>
        <w:rPr>
          <w:spacing w:val="-14"/>
        </w:rPr>
        <w:t> </w:t>
      </w:r>
      <w:r>
        <w:rPr/>
        <w:t>independiente.</w:t>
      </w:r>
      <w:r>
        <w:rPr>
          <w:spacing w:val="-14"/>
        </w:rPr>
        <w:t> </w:t>
      </w:r>
      <w:r>
        <w:rPr/>
        <w:t>Todas</w:t>
      </w:r>
      <w:r>
        <w:rPr>
          <w:spacing w:val="-14"/>
        </w:rPr>
        <w:t> </w:t>
      </w:r>
      <w:r>
        <w:rPr/>
        <w:t>las</w:t>
      </w:r>
      <w:r>
        <w:rPr>
          <w:spacing w:val="-14"/>
        </w:rPr>
        <w:t> </w:t>
      </w:r>
      <w:r>
        <w:rPr/>
        <w:t>decisiones</w:t>
      </w:r>
      <w:r>
        <w:rPr>
          <w:spacing w:val="-14"/>
        </w:rPr>
        <w:t> </w:t>
      </w:r>
      <w:r>
        <w:rPr/>
        <w:t>sobre</w:t>
      </w:r>
      <w:r>
        <w:rPr>
          <w:spacing w:val="-14"/>
        </w:rPr>
        <w:t> </w:t>
      </w:r>
      <w:r>
        <w:rPr/>
        <w:t>el</w:t>
      </w:r>
      <w:r>
        <w:rPr>
          <w:spacing w:val="-13"/>
        </w:rPr>
        <w:t> </w:t>
      </w:r>
      <w:r>
        <w:rPr/>
        <w:t>uso</w:t>
      </w:r>
      <w:r>
        <w:rPr>
          <w:spacing w:val="-14"/>
        </w:rPr>
        <w:t> </w:t>
      </w:r>
      <w:r>
        <w:rPr/>
        <w:t>de</w:t>
      </w:r>
      <w:r>
        <w:rPr>
          <w:spacing w:val="-14"/>
        </w:rPr>
        <w:t> </w:t>
      </w:r>
      <w:r>
        <w:rPr/>
        <w:t>los</w:t>
      </w:r>
      <w:r>
        <w:rPr>
          <w:spacing w:val="-14"/>
        </w:rPr>
        <w:t> </w:t>
      </w:r>
      <w:r>
        <w:rPr/>
        <w:t>recursos asignados</w:t>
      </w:r>
      <w:r>
        <w:rPr>
          <w:spacing w:val="-14"/>
        </w:rPr>
        <w:t> </w:t>
      </w:r>
      <w:r>
        <w:rPr/>
        <w:t>al</w:t>
      </w:r>
      <w:r>
        <w:rPr>
          <w:spacing w:val="-14"/>
        </w:rPr>
        <w:t> </w:t>
      </w:r>
      <w:r>
        <w:rPr/>
        <w:t>instituto</w:t>
      </w:r>
      <w:r>
        <w:rPr>
          <w:spacing w:val="-14"/>
        </w:rPr>
        <w:t> </w:t>
      </w:r>
      <w:r>
        <w:rPr/>
        <w:t>por</w:t>
      </w:r>
      <w:r>
        <w:rPr>
          <w:spacing w:val="-14"/>
        </w:rPr>
        <w:t> </w:t>
      </w:r>
      <w:r>
        <w:rPr/>
        <w:t>el</w:t>
      </w:r>
      <w:r>
        <w:rPr>
          <w:spacing w:val="-14"/>
        </w:rPr>
        <w:t> </w:t>
      </w:r>
      <w:r>
        <w:rPr/>
        <w:t>Parlamento</w:t>
      </w:r>
      <w:r>
        <w:rPr>
          <w:spacing w:val="-14"/>
        </w:rPr>
        <w:t> </w:t>
      </w:r>
      <w:r>
        <w:rPr/>
        <w:t>danés</w:t>
      </w:r>
      <w:r>
        <w:rPr>
          <w:spacing w:val="-14"/>
        </w:rPr>
        <w:t> </w:t>
      </w:r>
      <w:r>
        <w:rPr/>
        <w:t>son</w:t>
      </w:r>
      <w:r>
        <w:rPr>
          <w:spacing w:val="-14"/>
        </w:rPr>
        <w:t> </w:t>
      </w:r>
      <w:r>
        <w:rPr/>
        <w:t>tomadas</w:t>
      </w:r>
      <w:r>
        <w:rPr>
          <w:spacing w:val="-14"/>
        </w:rPr>
        <w:t> </w:t>
      </w:r>
      <w:r>
        <w:rPr/>
        <w:t>por</w:t>
      </w:r>
      <w:r>
        <w:rPr>
          <w:spacing w:val="-13"/>
        </w:rPr>
        <w:t> </w:t>
      </w:r>
      <w:r>
        <w:rPr/>
        <w:t>una</w:t>
      </w:r>
      <w:r>
        <w:rPr>
          <w:spacing w:val="-14"/>
        </w:rPr>
        <w:t> </w:t>
      </w:r>
      <w:r>
        <w:rPr/>
        <w:t>Ejecutiva</w:t>
      </w:r>
      <w:r>
        <w:rPr>
          <w:spacing w:val="-14"/>
        </w:rPr>
        <w:t> </w:t>
      </w:r>
      <w:r>
        <w:rPr/>
        <w:t>de</w:t>
      </w:r>
      <w:r>
        <w:rPr>
          <w:spacing w:val="-14"/>
        </w:rPr>
        <w:t> </w:t>
      </w:r>
      <w:r>
        <w:rPr/>
        <w:t>15</w:t>
      </w:r>
      <w:r>
        <w:rPr>
          <w:spacing w:val="-14"/>
        </w:rPr>
        <w:t> </w:t>
      </w:r>
      <w:r>
        <w:rPr/>
        <w:t>personas, que representan a los partidos políticos en el Parlamento, las organizaciones de la sociedad civil y el mundo académico, entre otros.</w:t>
      </w:r>
    </w:p>
    <w:p>
      <w:pPr>
        <w:pStyle w:val="BodyText"/>
        <w:spacing w:line="276" w:lineRule="auto" w:before="137"/>
        <w:ind w:left="116" w:right="860"/>
        <w:jc w:val="both"/>
      </w:pPr>
      <w:r>
        <w:rPr/>
        <w:t>DIPD</w:t>
      </w:r>
      <w:r>
        <w:rPr>
          <w:spacing w:val="-4"/>
        </w:rPr>
        <w:t> </w:t>
      </w:r>
      <w:r>
        <w:rPr/>
        <w:t>fue</w:t>
      </w:r>
      <w:r>
        <w:rPr>
          <w:spacing w:val="-4"/>
        </w:rPr>
        <w:t> </w:t>
      </w:r>
      <w:r>
        <w:rPr/>
        <w:t>establecido</w:t>
      </w:r>
      <w:r>
        <w:rPr>
          <w:spacing w:val="-4"/>
        </w:rPr>
        <w:t> </w:t>
      </w:r>
      <w:r>
        <w:rPr/>
        <w:t>en</w:t>
      </w:r>
      <w:r>
        <w:rPr>
          <w:spacing w:val="-4"/>
        </w:rPr>
        <w:t> </w:t>
      </w:r>
      <w:r>
        <w:rPr/>
        <w:t>mayo</w:t>
      </w:r>
      <w:r>
        <w:rPr>
          <w:spacing w:val="-4"/>
        </w:rPr>
        <w:t> </w:t>
      </w:r>
      <w:r>
        <w:rPr/>
        <w:t>de</w:t>
      </w:r>
      <w:r>
        <w:rPr>
          <w:spacing w:val="-4"/>
        </w:rPr>
        <w:t> </w:t>
      </w:r>
      <w:r>
        <w:rPr/>
        <w:t>2010</w:t>
      </w:r>
      <w:r>
        <w:rPr>
          <w:spacing w:val="-3"/>
        </w:rPr>
        <w:t> </w:t>
      </w:r>
      <w:r>
        <w:rPr/>
        <w:t>siguiendo</w:t>
      </w:r>
      <w:r>
        <w:rPr>
          <w:spacing w:val="-4"/>
        </w:rPr>
        <w:t> </w:t>
      </w:r>
      <w:r>
        <w:rPr/>
        <w:t>la</w:t>
      </w:r>
      <w:r>
        <w:rPr>
          <w:spacing w:val="-2"/>
        </w:rPr>
        <w:t> </w:t>
      </w:r>
      <w:r>
        <w:rPr/>
        <w:t>legislación</w:t>
      </w:r>
      <w:r>
        <w:rPr>
          <w:spacing w:val="-2"/>
        </w:rPr>
        <w:t> </w:t>
      </w:r>
      <w:r>
        <w:rPr/>
        <w:t>del</w:t>
      </w:r>
      <w:r>
        <w:rPr>
          <w:spacing w:val="-3"/>
        </w:rPr>
        <w:t> </w:t>
      </w:r>
      <w:r>
        <w:rPr/>
        <w:t>Parlamento</w:t>
      </w:r>
      <w:r>
        <w:rPr>
          <w:spacing w:val="-5"/>
        </w:rPr>
        <w:t> </w:t>
      </w:r>
      <w:r>
        <w:rPr/>
        <w:t>danés.</w:t>
      </w:r>
      <w:r>
        <w:rPr>
          <w:spacing w:val="-2"/>
        </w:rPr>
        <w:t> </w:t>
      </w:r>
      <w:r>
        <w:rPr/>
        <w:t>La</w:t>
      </w:r>
      <w:r>
        <w:rPr>
          <w:spacing w:val="-4"/>
        </w:rPr>
        <w:t> </w:t>
      </w:r>
      <w:r>
        <w:rPr/>
        <w:t>ley otorga al instituto el mandato de contribuir al fortalecimiento de la cultura democrática, los partidos políticos y el sistema multipartidista en determinados países en desarrollo. En la estrategia para 2021-25 la visión y misión se articulan así:</w:t>
      </w:r>
    </w:p>
    <w:p>
      <w:pPr>
        <w:spacing w:line="276" w:lineRule="auto" w:before="137"/>
        <w:ind w:left="116" w:right="861" w:firstLine="0"/>
        <w:jc w:val="both"/>
        <w:rPr>
          <w:i/>
          <w:sz w:val="20"/>
        </w:rPr>
      </w:pPr>
      <w:r>
        <w:rPr>
          <w:i/>
          <w:sz w:val="20"/>
        </w:rPr>
        <w:t>La </w:t>
      </w:r>
      <w:r>
        <w:rPr>
          <w:b/>
          <w:i/>
          <w:sz w:val="20"/>
        </w:rPr>
        <w:t>visión </w:t>
      </w:r>
      <w:r>
        <w:rPr>
          <w:i/>
          <w:sz w:val="20"/>
        </w:rPr>
        <w:t>de DIPD es contribuir al desarrollo de partidos políticos democráticos, sistemas</w:t>
      </w:r>
      <w:r>
        <w:rPr>
          <w:i/>
          <w:sz w:val="20"/>
        </w:rPr>
        <w:t> multipartidistas y otras instituciones como organizaciones de interés relacionadas con la cultura democrática de los países en desarrollo seleccionados.</w:t>
      </w:r>
    </w:p>
    <w:p>
      <w:pPr>
        <w:spacing w:line="276" w:lineRule="auto" w:before="136"/>
        <w:ind w:left="116" w:right="871" w:firstLine="0"/>
        <w:jc w:val="both"/>
        <w:rPr>
          <w:i/>
          <w:sz w:val="20"/>
        </w:rPr>
      </w:pPr>
      <w:r>
        <w:rPr>
          <w:i/>
          <w:sz w:val="20"/>
        </w:rPr>
        <w:t>La </w:t>
      </w:r>
      <w:r>
        <w:rPr>
          <w:b/>
          <w:i/>
          <w:sz w:val="20"/>
        </w:rPr>
        <w:t>misión </w:t>
      </w:r>
      <w:r>
        <w:rPr>
          <w:i/>
          <w:sz w:val="20"/>
        </w:rPr>
        <w:t>de DIPD es establecer asociaciones con partidos políticos, plataformas</w:t>
      </w:r>
      <w:r>
        <w:rPr>
          <w:i/>
          <w:sz w:val="20"/>
        </w:rPr>
        <w:t> multipartidistas y otras instituciones a través de la participación activa de partidos políticos daneses, organizaciones de interés danesas y socios internacionales.</w:t>
      </w:r>
    </w:p>
    <w:p>
      <w:pPr>
        <w:pStyle w:val="BodyText"/>
        <w:spacing w:line="276" w:lineRule="auto" w:before="137"/>
        <w:ind w:left="116" w:right="862"/>
        <w:jc w:val="both"/>
      </w:pPr>
      <w:r>
        <w:rPr/>
        <w:t>La estrategia detalla los principios de cómo DIPD construye y desarrolla asociaciones, así como</w:t>
      </w:r>
      <w:r>
        <w:rPr>
          <w:spacing w:val="-9"/>
        </w:rPr>
        <w:t> </w:t>
      </w:r>
      <w:r>
        <w:rPr/>
        <w:t>los</w:t>
      </w:r>
      <w:r>
        <w:rPr>
          <w:spacing w:val="-8"/>
        </w:rPr>
        <w:t> </w:t>
      </w:r>
      <w:r>
        <w:rPr/>
        <w:t>principales</w:t>
      </w:r>
      <w:r>
        <w:rPr>
          <w:spacing w:val="-7"/>
        </w:rPr>
        <w:t> </w:t>
      </w:r>
      <w:r>
        <w:rPr/>
        <w:t>objetivos</w:t>
      </w:r>
      <w:r>
        <w:rPr>
          <w:spacing w:val="-10"/>
        </w:rPr>
        <w:t> </w:t>
      </w:r>
      <w:r>
        <w:rPr/>
        <w:t>y</w:t>
      </w:r>
      <w:r>
        <w:rPr>
          <w:spacing w:val="-10"/>
        </w:rPr>
        <w:t> </w:t>
      </w:r>
      <w:r>
        <w:rPr/>
        <w:t>resultados</w:t>
      </w:r>
      <w:r>
        <w:rPr>
          <w:spacing w:val="-10"/>
        </w:rPr>
        <w:t> </w:t>
      </w:r>
      <w:r>
        <w:rPr/>
        <w:t>para</w:t>
      </w:r>
      <w:r>
        <w:rPr>
          <w:spacing w:val="-12"/>
        </w:rPr>
        <w:t> </w:t>
      </w:r>
      <w:r>
        <w:rPr/>
        <w:t>el</w:t>
      </w:r>
      <w:r>
        <w:rPr>
          <w:spacing w:val="-10"/>
        </w:rPr>
        <w:t> </w:t>
      </w:r>
      <w:r>
        <w:rPr/>
        <w:t>período</w:t>
      </w:r>
      <w:r>
        <w:rPr>
          <w:spacing w:val="-9"/>
        </w:rPr>
        <w:t> </w:t>
      </w:r>
      <w:r>
        <w:rPr/>
        <w:t>de</w:t>
      </w:r>
      <w:r>
        <w:rPr>
          <w:spacing w:val="-10"/>
        </w:rPr>
        <w:t> </w:t>
      </w:r>
      <w:r>
        <w:rPr/>
        <w:t>la</w:t>
      </w:r>
      <w:r>
        <w:rPr>
          <w:spacing w:val="-12"/>
        </w:rPr>
        <w:t> </w:t>
      </w:r>
      <w:r>
        <w:rPr/>
        <w:t>estrategia</w:t>
      </w:r>
      <w:r>
        <w:rPr>
          <w:spacing w:val="-2"/>
        </w:rPr>
        <w:t> </w:t>
      </w:r>
      <w:r>
        <w:rPr/>
        <w:t>vigente.</w:t>
      </w:r>
      <w:r>
        <w:rPr>
          <w:spacing w:val="-11"/>
        </w:rPr>
        <w:t> </w:t>
      </w:r>
      <w:r>
        <w:rPr/>
        <w:t>Todo</w:t>
      </w:r>
      <w:r>
        <w:rPr>
          <w:spacing w:val="-12"/>
        </w:rPr>
        <w:t> </w:t>
      </w:r>
      <w:r>
        <w:rPr/>
        <w:t>esto se basa en las experiencias y los resultados de los tres períodos de financiación anteriores.</w:t>
      </w:r>
    </w:p>
    <w:p>
      <w:pPr>
        <w:pStyle w:val="BodyText"/>
        <w:spacing w:line="276" w:lineRule="auto" w:before="139"/>
        <w:ind w:left="116" w:right="862"/>
        <w:jc w:val="both"/>
      </w:pPr>
      <w:r>
        <w:rPr/>
        <w:t>El</w:t>
      </w:r>
      <w:r>
        <w:rPr>
          <w:spacing w:val="-3"/>
        </w:rPr>
        <w:t> </w:t>
      </w:r>
      <w:r>
        <w:rPr/>
        <w:t>propósito</w:t>
      </w:r>
      <w:r>
        <w:rPr>
          <w:spacing w:val="-2"/>
        </w:rPr>
        <w:t> </w:t>
      </w:r>
      <w:r>
        <w:rPr/>
        <w:t>de</w:t>
      </w:r>
      <w:r>
        <w:rPr>
          <w:spacing w:val="-3"/>
        </w:rPr>
        <w:t> </w:t>
      </w:r>
      <w:r>
        <w:rPr/>
        <w:t>estas</w:t>
      </w:r>
      <w:r>
        <w:rPr>
          <w:spacing w:val="-3"/>
        </w:rPr>
        <w:t> </w:t>
      </w:r>
      <w:r>
        <w:rPr/>
        <w:t>directrices</w:t>
      </w:r>
      <w:r>
        <w:rPr>
          <w:spacing w:val="-3"/>
        </w:rPr>
        <w:t> </w:t>
      </w:r>
      <w:r>
        <w:rPr/>
        <w:t>es</w:t>
      </w:r>
      <w:r>
        <w:rPr>
          <w:spacing w:val="-3"/>
        </w:rPr>
        <w:t> </w:t>
      </w:r>
      <w:r>
        <w:rPr/>
        <w:t>asegurar</w:t>
      </w:r>
      <w:r>
        <w:rPr>
          <w:spacing w:val="-1"/>
        </w:rPr>
        <w:t> </w:t>
      </w:r>
      <w:r>
        <w:rPr/>
        <w:t>que</w:t>
      </w:r>
      <w:r>
        <w:rPr>
          <w:spacing w:val="-2"/>
        </w:rPr>
        <w:t> </w:t>
      </w:r>
      <w:r>
        <w:rPr/>
        <w:t>todos</w:t>
      </w:r>
      <w:r>
        <w:rPr>
          <w:spacing w:val="-3"/>
        </w:rPr>
        <w:t> </w:t>
      </w:r>
      <w:r>
        <w:rPr/>
        <w:t>los</w:t>
      </w:r>
      <w:r>
        <w:rPr>
          <w:spacing w:val="-3"/>
        </w:rPr>
        <w:t> </w:t>
      </w:r>
      <w:r>
        <w:rPr/>
        <w:t>partidos</w:t>
      </w:r>
      <w:r>
        <w:rPr>
          <w:spacing w:val="-1"/>
        </w:rPr>
        <w:t> </w:t>
      </w:r>
      <w:r>
        <w:rPr/>
        <w:t>y los</w:t>
      </w:r>
      <w:r>
        <w:rPr>
          <w:spacing w:val="-3"/>
        </w:rPr>
        <w:t> </w:t>
      </w:r>
      <w:r>
        <w:rPr/>
        <w:t>socios</w:t>
      </w:r>
      <w:r>
        <w:rPr>
          <w:spacing w:val="-3"/>
        </w:rPr>
        <w:t> </w:t>
      </w:r>
      <w:r>
        <w:rPr/>
        <w:t>que</w:t>
      </w:r>
      <w:r>
        <w:rPr>
          <w:spacing w:val="-4"/>
        </w:rPr>
        <w:t> </w:t>
      </w:r>
      <w:r>
        <w:rPr/>
        <w:t>trabajan con</w:t>
      </w:r>
      <w:r>
        <w:rPr>
          <w:spacing w:val="-9"/>
        </w:rPr>
        <w:t> </w:t>
      </w:r>
      <w:r>
        <w:rPr/>
        <w:t>DIPD</w:t>
      </w:r>
      <w:r>
        <w:rPr>
          <w:spacing w:val="-8"/>
        </w:rPr>
        <w:t> </w:t>
      </w:r>
      <w:r>
        <w:rPr/>
        <w:t>reciban</w:t>
      </w:r>
      <w:r>
        <w:rPr>
          <w:spacing w:val="-9"/>
        </w:rPr>
        <w:t> </w:t>
      </w:r>
      <w:r>
        <w:rPr/>
        <w:t>la</w:t>
      </w:r>
      <w:r>
        <w:rPr>
          <w:spacing w:val="-9"/>
        </w:rPr>
        <w:t> </w:t>
      </w:r>
      <w:r>
        <w:rPr/>
        <w:t>orientación</w:t>
      </w:r>
      <w:r>
        <w:rPr>
          <w:spacing w:val="-9"/>
        </w:rPr>
        <w:t> </w:t>
      </w:r>
      <w:r>
        <w:rPr/>
        <w:t>necesaria</w:t>
      </w:r>
      <w:r>
        <w:rPr>
          <w:spacing w:val="-9"/>
        </w:rPr>
        <w:t> </w:t>
      </w:r>
      <w:r>
        <w:rPr/>
        <w:t>en</w:t>
      </w:r>
      <w:r>
        <w:rPr>
          <w:spacing w:val="-9"/>
        </w:rPr>
        <w:t> </w:t>
      </w:r>
      <w:r>
        <w:rPr/>
        <w:t>relación</w:t>
      </w:r>
      <w:r>
        <w:rPr>
          <w:spacing w:val="-7"/>
        </w:rPr>
        <w:t> </w:t>
      </w:r>
      <w:r>
        <w:rPr/>
        <w:t>con</w:t>
      </w:r>
      <w:r>
        <w:rPr>
          <w:spacing w:val="-9"/>
        </w:rPr>
        <w:t> </w:t>
      </w:r>
      <w:r>
        <w:rPr/>
        <w:t>el</w:t>
      </w:r>
      <w:r>
        <w:rPr>
          <w:spacing w:val="-10"/>
        </w:rPr>
        <w:t> </w:t>
      </w:r>
      <w:r>
        <w:rPr/>
        <w:t>proceso</w:t>
      </w:r>
      <w:r>
        <w:rPr>
          <w:spacing w:val="-7"/>
        </w:rPr>
        <w:t> </w:t>
      </w:r>
      <w:r>
        <w:rPr/>
        <w:t>del</w:t>
      </w:r>
      <w:r>
        <w:rPr>
          <w:spacing w:val="-10"/>
        </w:rPr>
        <w:t> </w:t>
      </w:r>
      <w:r>
        <w:rPr/>
        <w:t>formato</w:t>
      </w:r>
      <w:r>
        <w:rPr>
          <w:spacing w:val="-7"/>
        </w:rPr>
        <w:t> </w:t>
      </w:r>
      <w:r>
        <w:rPr/>
        <w:t>del</w:t>
      </w:r>
      <w:r>
        <w:rPr>
          <w:spacing w:val="-7"/>
        </w:rPr>
        <w:t> </w:t>
      </w:r>
      <w:r>
        <w:rPr/>
        <w:t>Acuerdo Marco</w:t>
      </w:r>
      <w:r>
        <w:rPr>
          <w:spacing w:val="-5"/>
        </w:rPr>
        <w:t> </w:t>
      </w:r>
      <w:r>
        <w:rPr/>
        <w:t>y</w:t>
      </w:r>
      <w:r>
        <w:rPr>
          <w:spacing w:val="-4"/>
        </w:rPr>
        <w:t> </w:t>
      </w:r>
      <w:r>
        <w:rPr/>
        <w:t>las</w:t>
      </w:r>
      <w:r>
        <w:rPr>
          <w:spacing w:val="-4"/>
        </w:rPr>
        <w:t> </w:t>
      </w:r>
      <w:r>
        <w:rPr/>
        <w:t>obligaciones</w:t>
      </w:r>
      <w:r>
        <w:rPr>
          <w:spacing w:val="-4"/>
        </w:rPr>
        <w:t> </w:t>
      </w:r>
      <w:r>
        <w:rPr/>
        <w:t>administrativas</w:t>
      </w:r>
      <w:r>
        <w:rPr>
          <w:spacing w:val="-4"/>
        </w:rPr>
        <w:t> </w:t>
      </w:r>
      <w:r>
        <w:rPr/>
        <w:t>que</w:t>
      </w:r>
      <w:r>
        <w:rPr>
          <w:spacing w:val="-5"/>
        </w:rPr>
        <w:t> </w:t>
      </w:r>
      <w:r>
        <w:rPr/>
        <w:t>recaen</w:t>
      </w:r>
      <w:r>
        <w:rPr>
          <w:spacing w:val="-6"/>
        </w:rPr>
        <w:t> </w:t>
      </w:r>
      <w:r>
        <w:rPr/>
        <w:t>sobre</w:t>
      </w:r>
      <w:r>
        <w:rPr>
          <w:spacing w:val="-5"/>
        </w:rPr>
        <w:t> </w:t>
      </w:r>
      <w:r>
        <w:rPr/>
        <w:t>ellos una</w:t>
      </w:r>
      <w:r>
        <w:rPr>
          <w:spacing w:val="-6"/>
        </w:rPr>
        <w:t> </w:t>
      </w:r>
      <w:r>
        <w:rPr/>
        <w:t>vez</w:t>
      </w:r>
      <w:r>
        <w:rPr>
          <w:spacing w:val="-3"/>
        </w:rPr>
        <w:t> </w:t>
      </w:r>
      <w:r>
        <w:rPr/>
        <w:t>reciben</w:t>
      </w:r>
      <w:r>
        <w:rPr>
          <w:spacing w:val="-5"/>
        </w:rPr>
        <w:t> </w:t>
      </w:r>
      <w:r>
        <w:rPr/>
        <w:t>fondos</w:t>
      </w:r>
      <w:r>
        <w:rPr>
          <w:spacing w:val="-4"/>
        </w:rPr>
        <w:t> </w:t>
      </w:r>
      <w:r>
        <w:rPr/>
        <w:t>para sus asociaciones.</w:t>
      </w:r>
    </w:p>
    <w:p>
      <w:pPr>
        <w:spacing w:after="0" w:line="276" w:lineRule="auto"/>
        <w:jc w:val="both"/>
        <w:sectPr>
          <w:headerReference w:type="default" r:id="rId12"/>
          <w:footerReference w:type="default" r:id="rId13"/>
          <w:pgSz w:w="11910" w:h="16850"/>
          <w:pgMar w:header="718" w:footer="878" w:top="940" w:bottom="1060" w:left="1300" w:right="1400"/>
          <w:pgNumType w:start="3"/>
        </w:sectPr>
      </w:pPr>
    </w:p>
    <w:p>
      <w:pPr>
        <w:pStyle w:val="BodyText"/>
      </w:pPr>
    </w:p>
    <w:p>
      <w:pPr>
        <w:pStyle w:val="BodyText"/>
      </w:pPr>
    </w:p>
    <w:p>
      <w:pPr>
        <w:pStyle w:val="BodyText"/>
        <w:spacing w:before="6"/>
        <w:rPr>
          <w:sz w:val="22"/>
        </w:rPr>
      </w:pPr>
    </w:p>
    <w:p>
      <w:pPr>
        <w:pStyle w:val="Heading1"/>
        <w:ind w:left="954" w:firstLine="0"/>
      </w:pPr>
      <w:r>
        <w:rPr>
          <w:color w:val="808080"/>
          <w:spacing w:val="-2"/>
        </w:rPr>
        <w:t>CONTENTS</w:t>
      </w:r>
    </w:p>
    <w:p>
      <w:pPr>
        <w:pStyle w:val="BodyText"/>
        <w:spacing w:before="7"/>
        <w:rPr>
          <w:sz w:val="3"/>
        </w:rPr>
      </w:pPr>
      <w:r>
        <w:rPr/>
        <w:pict>
          <v:shape style="position:absolute;margin-left:111.980003pt;margin-top:3.306509pt;width:130.5pt;height:13.7pt;mso-position-horizontal-relative:page;mso-position-vertical-relative:paragraph;z-index:-15724032;mso-wrap-distance-left:0;mso-wrap-distance-right:0" id="docshape18" coordorigin="2240,66" coordsize="2610,274" path="m4849,66l2240,66,2240,73,2240,340,4849,340,4849,73,4849,66xe" filled="true" fillcolor="#ff0000" stroked="false">
            <v:path arrowok="t"/>
            <v:fill type="solid"/>
            <w10:wrap type="topAndBottom"/>
          </v:shape>
        </w:pict>
      </w:r>
    </w:p>
    <w:p>
      <w:pPr>
        <w:pStyle w:val="BodyText"/>
        <w:spacing w:before="7"/>
        <w:rPr>
          <w:sz w:val="26"/>
        </w:rPr>
      </w:pPr>
    </w:p>
    <w:p>
      <w:pPr>
        <w:spacing w:before="93"/>
        <w:ind w:left="968" w:right="0" w:firstLine="0"/>
        <w:jc w:val="left"/>
        <w:rPr>
          <w:b/>
          <w:sz w:val="24"/>
        </w:rPr>
      </w:pPr>
      <w:r>
        <w:rPr>
          <w:b/>
          <w:spacing w:val="-2"/>
          <w:sz w:val="24"/>
        </w:rPr>
        <w:t>INTRODUCCIÓN</w:t>
      </w:r>
    </w:p>
    <w:p>
      <w:pPr>
        <w:spacing w:after="0"/>
        <w:jc w:val="left"/>
        <w:rPr>
          <w:sz w:val="24"/>
        </w:rPr>
        <w:sectPr>
          <w:headerReference w:type="default" r:id="rId14"/>
          <w:footerReference w:type="default" r:id="rId15"/>
          <w:pgSz w:w="11910" w:h="16850"/>
          <w:pgMar w:header="718" w:footer="843" w:top="940" w:bottom="1068" w:left="1300" w:right="1400"/>
        </w:sectPr>
      </w:pPr>
    </w:p>
    <w:sdt>
      <w:sdtPr>
        <w:docPartObj>
          <w:docPartGallery w:val="Table of Contents"/>
          <w:docPartUnique/>
        </w:docPartObj>
      </w:sdtPr>
      <w:sdtEndPr/>
      <w:sdtContent>
        <w:p>
          <w:pPr>
            <w:pStyle w:val="TOC2"/>
            <w:tabs>
              <w:tab w:pos="7949" w:val="left" w:leader="dot"/>
            </w:tabs>
            <w:spacing w:before="121"/>
            <w:ind w:left="954" w:firstLine="0"/>
          </w:pPr>
          <w:hyperlink w:history="true" w:anchor="_TOC_250032">
            <w:r>
              <w:rPr>
                <w:spacing w:val="-2"/>
              </w:rPr>
              <w:t>VALIDEZ</w:t>
            </w:r>
            <w:r>
              <w:rPr/>
              <w:tab/>
            </w:r>
            <w:r>
              <w:rPr>
                <w:spacing w:val="-10"/>
              </w:rPr>
              <w:t>2</w:t>
            </w:r>
          </w:hyperlink>
        </w:p>
        <w:p>
          <w:pPr>
            <w:pStyle w:val="TOC2"/>
            <w:ind w:left="968" w:firstLine="0"/>
          </w:pPr>
          <w:hyperlink w:history="true" w:anchor="_TOC_250031">
            <w:r>
              <w:rPr/>
              <w:t>INFORMACIÓN</w:t>
            </w:r>
            <w:r>
              <w:rPr>
                <w:spacing w:val="-8"/>
              </w:rPr>
              <w:t> </w:t>
            </w:r>
            <w:r>
              <w:rPr/>
              <w:t>DE</w:t>
            </w:r>
            <w:r>
              <w:rPr>
                <w:spacing w:val="-7"/>
              </w:rPr>
              <w:t> </w:t>
            </w:r>
            <w:r>
              <w:rPr>
                <w:spacing w:val="-2"/>
              </w:rPr>
              <w:t>CONTACTO</w:t>
            </w:r>
          </w:hyperlink>
        </w:p>
        <w:p>
          <w:pPr>
            <w:pStyle w:val="TOC2"/>
            <w:tabs>
              <w:tab w:pos="5576" w:val="left" w:leader="dot"/>
            </w:tabs>
            <w:spacing w:before="29"/>
            <w:ind w:left="968" w:firstLine="0"/>
          </w:pPr>
          <w:r>
            <w:rPr>
              <w:spacing w:val="-10"/>
            </w:rPr>
            <w:t>.</w:t>
          </w:r>
          <w:r>
            <w:rPr/>
            <w:tab/>
          </w:r>
          <w:r>
            <w:rPr>
              <w:spacing w:val="-10"/>
            </w:rPr>
            <w:t>2</w:t>
          </w:r>
        </w:p>
        <w:p>
          <w:pPr>
            <w:pStyle w:val="TOC2"/>
            <w:tabs>
              <w:tab w:pos="8073" w:val="left" w:leader="dot"/>
            </w:tabs>
            <w:spacing w:before="131"/>
            <w:ind w:left="954" w:firstLine="0"/>
          </w:pPr>
          <w:r>
            <w:rPr>
              <w:spacing w:val="-2"/>
            </w:rPr>
            <w:t>ABBREVIATURAS</w:t>
          </w:r>
          <w:r>
            <w:rPr/>
            <w:tab/>
          </w:r>
          <w:r>
            <w:rPr>
              <w:spacing w:val="-10"/>
            </w:rPr>
            <w:t>2</w:t>
          </w:r>
        </w:p>
        <w:p>
          <w:pPr>
            <w:pStyle w:val="TOC2"/>
            <w:tabs>
              <w:tab w:pos="8083" w:val="left" w:leader="dot"/>
            </w:tabs>
            <w:spacing w:before="111"/>
            <w:ind w:left="963" w:firstLine="0"/>
          </w:pPr>
          <w:hyperlink w:history="true" w:anchor="_TOC_250030">
            <w:r>
              <w:rPr/>
              <w:t>BASES</w:t>
            </w:r>
            <w:r>
              <w:rPr>
                <w:spacing w:val="-6"/>
              </w:rPr>
              <w:t> </w:t>
            </w:r>
            <w:r>
              <w:rPr/>
              <w:t>DE</w:t>
            </w:r>
            <w:r>
              <w:rPr>
                <w:spacing w:val="-4"/>
              </w:rPr>
              <w:t> </w:t>
            </w:r>
            <w:r>
              <w:rPr/>
              <w:t>LAS</w:t>
            </w:r>
            <w:r>
              <w:rPr>
                <w:spacing w:val="-4"/>
              </w:rPr>
              <w:t> </w:t>
            </w:r>
            <w:r>
              <w:rPr>
                <w:spacing w:val="-2"/>
              </w:rPr>
              <w:t>DIRECTRICES</w:t>
            </w:r>
            <w:r>
              <w:rPr/>
              <w:tab/>
            </w:r>
            <w:r>
              <w:rPr>
                <w:spacing w:val="-10"/>
              </w:rPr>
              <w:t>6</w:t>
            </w:r>
          </w:hyperlink>
        </w:p>
        <w:p>
          <w:pPr>
            <w:pStyle w:val="TOC2"/>
            <w:numPr>
              <w:ilvl w:val="0"/>
              <w:numId w:val="2"/>
            </w:numPr>
            <w:tabs>
              <w:tab w:pos="1175" w:val="left" w:leader="none"/>
              <w:tab w:pos="7643" w:val="left" w:leader="dot"/>
            </w:tabs>
            <w:spacing w:line="240" w:lineRule="auto" w:before="115" w:after="0"/>
            <w:ind w:left="1174" w:right="0" w:hanging="221"/>
            <w:jc w:val="left"/>
          </w:pPr>
          <w:hyperlink w:history="true" w:anchor="_TOC_250029">
            <w:r>
              <w:rPr/>
              <w:t>FORMATO</w:t>
            </w:r>
            <w:r>
              <w:rPr>
                <w:spacing w:val="-7"/>
              </w:rPr>
              <w:t> </w:t>
            </w:r>
            <w:r>
              <w:rPr/>
              <w:t>DE</w:t>
            </w:r>
            <w:r>
              <w:rPr>
                <w:spacing w:val="-7"/>
              </w:rPr>
              <w:t> </w:t>
            </w:r>
            <w:r>
              <w:rPr/>
              <w:t>ACUERDO</w:t>
            </w:r>
            <w:r>
              <w:rPr>
                <w:spacing w:val="-5"/>
              </w:rPr>
              <w:t> </w:t>
            </w:r>
            <w:r>
              <w:rPr>
                <w:spacing w:val="-2"/>
              </w:rPr>
              <w:t>MARCO</w:t>
            </w:r>
            <w:r>
              <w:rPr/>
              <w:tab/>
            </w:r>
            <w:r>
              <w:rPr>
                <w:spacing w:val="-10"/>
              </w:rPr>
              <w:t>7</w:t>
            </w:r>
          </w:hyperlink>
        </w:p>
        <w:p>
          <w:pPr>
            <w:pStyle w:val="TOC2"/>
            <w:numPr>
              <w:ilvl w:val="1"/>
              <w:numId w:val="2"/>
            </w:numPr>
            <w:tabs>
              <w:tab w:pos="1661" w:val="left" w:leader="none"/>
              <w:tab w:pos="1662" w:val="left" w:leader="none"/>
              <w:tab w:pos="7516" w:val="left" w:leader="dot"/>
            </w:tabs>
            <w:spacing w:line="240" w:lineRule="auto" w:before="130" w:after="0"/>
            <w:ind w:left="1662" w:right="0" w:hanging="708"/>
            <w:jc w:val="left"/>
          </w:pPr>
          <w:hyperlink w:history="true" w:anchor="_TOC_250028">
            <w:r>
              <w:rPr/>
              <w:t>PROCESO</w:t>
            </w:r>
            <w:r>
              <w:rPr>
                <w:spacing w:val="-7"/>
              </w:rPr>
              <w:t> </w:t>
            </w:r>
            <w:r>
              <w:rPr/>
              <w:t>DE</w:t>
            </w:r>
            <w:r>
              <w:rPr>
                <w:spacing w:val="-7"/>
              </w:rPr>
              <w:t> </w:t>
            </w:r>
            <w:r>
              <w:rPr/>
              <w:t>ACUERDO</w:t>
            </w:r>
            <w:r>
              <w:rPr>
                <w:spacing w:val="-3"/>
              </w:rPr>
              <w:t> </w:t>
            </w:r>
            <w:r>
              <w:rPr>
                <w:spacing w:val="-2"/>
              </w:rPr>
              <w:t>MARCO</w:t>
            </w:r>
            <w:r>
              <w:rPr/>
              <w:tab/>
            </w:r>
            <w:r>
              <w:rPr>
                <w:spacing w:val="-10"/>
              </w:rPr>
              <w:t>7</w:t>
            </w:r>
          </w:hyperlink>
        </w:p>
        <w:p>
          <w:pPr>
            <w:pStyle w:val="TOC2"/>
            <w:numPr>
              <w:ilvl w:val="1"/>
              <w:numId w:val="2"/>
            </w:numPr>
            <w:tabs>
              <w:tab w:pos="1661" w:val="left" w:leader="none"/>
              <w:tab w:pos="1662" w:val="left" w:leader="none"/>
              <w:tab w:pos="7517" w:val="left" w:leader="dot"/>
            </w:tabs>
            <w:spacing w:line="240" w:lineRule="auto" w:before="128" w:after="0"/>
            <w:ind w:left="1662" w:right="0" w:hanging="708"/>
            <w:jc w:val="left"/>
          </w:pPr>
          <w:hyperlink w:history="true" w:anchor="_TOC_250027">
            <w:r>
              <w:rPr/>
              <w:t>SELECCIÓN</w:t>
            </w:r>
            <w:r>
              <w:rPr>
                <w:spacing w:val="-6"/>
              </w:rPr>
              <w:t> </w:t>
            </w:r>
            <w:r>
              <w:rPr/>
              <w:t>DE</w:t>
            </w:r>
            <w:r>
              <w:rPr>
                <w:spacing w:val="-6"/>
              </w:rPr>
              <w:t> </w:t>
            </w:r>
            <w:r>
              <w:rPr/>
              <w:t>SOCIOS</w:t>
            </w:r>
            <w:r>
              <w:rPr>
                <w:spacing w:val="-4"/>
              </w:rPr>
              <w:t> </w:t>
            </w:r>
            <w:r>
              <w:rPr/>
              <w:t>Y</w:t>
            </w:r>
            <w:r>
              <w:rPr>
                <w:spacing w:val="-6"/>
              </w:rPr>
              <w:t> </w:t>
            </w:r>
            <w:r>
              <w:rPr>
                <w:spacing w:val="-2"/>
              </w:rPr>
              <w:t>REQUISITOS</w:t>
            </w:r>
            <w:r>
              <w:rPr/>
              <w:tab/>
            </w:r>
            <w:r>
              <w:rPr>
                <w:spacing w:val="-10"/>
              </w:rPr>
              <w:t>7</w:t>
            </w:r>
          </w:hyperlink>
        </w:p>
        <w:p>
          <w:pPr>
            <w:pStyle w:val="TOC2"/>
            <w:numPr>
              <w:ilvl w:val="1"/>
              <w:numId w:val="2"/>
            </w:numPr>
            <w:tabs>
              <w:tab w:pos="1661" w:val="left" w:leader="none"/>
              <w:tab w:pos="1662" w:val="left" w:leader="none"/>
              <w:tab w:pos="8215" w:val="left" w:leader="dot"/>
            </w:tabs>
            <w:spacing w:line="240" w:lineRule="auto" w:before="157" w:after="0"/>
            <w:ind w:left="1662" w:right="0" w:hanging="708"/>
            <w:jc w:val="left"/>
          </w:pPr>
          <w:hyperlink w:history="true" w:anchor="_TOC_250026">
            <w:r>
              <w:rPr/>
              <w:t>ENFOQUE</w:t>
            </w:r>
            <w:r>
              <w:rPr>
                <w:spacing w:val="-10"/>
              </w:rPr>
              <w:t> </w:t>
            </w:r>
            <w:r>
              <w:rPr/>
              <w:t>DE</w:t>
            </w:r>
            <w:r>
              <w:rPr>
                <w:spacing w:val="-6"/>
              </w:rPr>
              <w:t> </w:t>
            </w:r>
            <w:r>
              <w:rPr/>
              <w:t>ASOCIACIÓN</w:t>
            </w:r>
            <w:r>
              <w:rPr>
                <w:spacing w:val="-7"/>
              </w:rPr>
              <w:t> </w:t>
            </w:r>
            <w:r>
              <w:rPr/>
              <w:t>DE</w:t>
            </w:r>
            <w:r>
              <w:rPr>
                <w:spacing w:val="-7"/>
              </w:rPr>
              <w:t> </w:t>
            </w:r>
            <w:r>
              <w:rPr>
                <w:spacing w:val="-4"/>
              </w:rPr>
              <w:t>DIPD</w:t>
            </w:r>
            <w:r>
              <w:rPr/>
              <w:tab/>
            </w:r>
            <w:r>
              <w:rPr>
                <w:spacing w:val="-10"/>
              </w:rPr>
              <w:t>8</w:t>
            </w:r>
          </w:hyperlink>
        </w:p>
        <w:p>
          <w:pPr>
            <w:pStyle w:val="TOC2"/>
            <w:numPr>
              <w:ilvl w:val="1"/>
              <w:numId w:val="2"/>
            </w:numPr>
            <w:tabs>
              <w:tab w:pos="1661" w:val="left" w:leader="none"/>
              <w:tab w:pos="1662" w:val="left" w:leader="none"/>
              <w:tab w:pos="6883" w:val="left" w:leader="dot"/>
            </w:tabs>
            <w:spacing w:line="240" w:lineRule="auto" w:before="130" w:after="0"/>
            <w:ind w:left="1662" w:right="0" w:hanging="708"/>
            <w:jc w:val="left"/>
          </w:pPr>
          <w:hyperlink w:history="true" w:anchor="_TOC_250025">
            <w:r>
              <w:rPr/>
              <w:t>¿QUÉ</w:t>
            </w:r>
            <w:r>
              <w:rPr>
                <w:spacing w:val="-8"/>
              </w:rPr>
              <w:t> </w:t>
            </w:r>
            <w:r>
              <w:rPr/>
              <w:t>PAÍSES</w:t>
            </w:r>
            <w:r>
              <w:rPr>
                <w:spacing w:val="-7"/>
              </w:rPr>
              <w:t> </w:t>
            </w:r>
            <w:r>
              <w:rPr/>
              <w:t>APOYARÁ</w:t>
            </w:r>
            <w:r>
              <w:rPr>
                <w:spacing w:val="-5"/>
              </w:rPr>
              <w:t> </w:t>
            </w:r>
            <w:r>
              <w:rPr>
                <w:spacing w:val="-4"/>
              </w:rPr>
              <w:t>DIPD?</w:t>
            </w:r>
            <w:r>
              <w:rPr/>
              <w:tab/>
            </w:r>
            <w:r>
              <w:rPr>
                <w:spacing w:val="-10"/>
              </w:rPr>
              <w:t>8</w:t>
            </w:r>
          </w:hyperlink>
        </w:p>
        <w:p>
          <w:pPr>
            <w:pStyle w:val="TOC6"/>
            <w:numPr>
              <w:ilvl w:val="2"/>
              <w:numId w:val="2"/>
            </w:numPr>
            <w:tabs>
              <w:tab w:pos="2394" w:val="left" w:leader="none"/>
              <w:tab w:pos="2395" w:val="left" w:leader="none"/>
            </w:tabs>
            <w:spacing w:line="240" w:lineRule="auto" w:before="129" w:after="0"/>
            <w:ind w:left="2394" w:right="0" w:hanging="733"/>
            <w:jc w:val="left"/>
            <w:rPr>
              <w:i/>
            </w:rPr>
          </w:pPr>
          <w:hyperlink w:history="true" w:anchor="_TOC_250024">
            <w:r>
              <w:rPr>
                <w:i/>
              </w:rPr>
              <w:t>OBJETIVOS</w:t>
            </w:r>
            <w:r>
              <w:rPr>
                <w:i/>
                <w:spacing w:val="-2"/>
              </w:rPr>
              <w:t> ESTRATÉGICOS</w:t>
            </w:r>
          </w:hyperlink>
        </w:p>
        <w:p>
          <w:pPr>
            <w:pStyle w:val="TOC7"/>
            <w:tabs>
              <w:tab w:pos="6196" w:val="left" w:leader="dot"/>
            </w:tabs>
            <w:spacing w:before="19"/>
            <w:rPr>
              <w:i/>
            </w:rPr>
          </w:pPr>
          <w:r>
            <w:rPr>
              <w:i/>
              <w:spacing w:val="-10"/>
            </w:rPr>
            <w:t>.</w:t>
          </w:r>
          <w:r>
            <w:rPr>
              <w:i/>
            </w:rPr>
            <w:tab/>
          </w:r>
          <w:r>
            <w:rPr>
              <w:i/>
              <w:spacing w:val="-10"/>
            </w:rPr>
            <w:t>9</w:t>
          </w:r>
        </w:p>
        <w:p>
          <w:pPr>
            <w:pStyle w:val="TOC2"/>
            <w:numPr>
              <w:ilvl w:val="1"/>
              <w:numId w:val="2"/>
            </w:numPr>
            <w:tabs>
              <w:tab w:pos="1661" w:val="left" w:leader="none"/>
              <w:tab w:pos="1662" w:val="left" w:leader="none"/>
            </w:tabs>
            <w:spacing w:line="240" w:lineRule="auto" w:before="120" w:after="0"/>
            <w:ind w:left="1662" w:right="0" w:hanging="708"/>
            <w:jc w:val="left"/>
          </w:pPr>
          <w:hyperlink w:history="true" w:anchor="_TOC_250023">
            <w:r>
              <w:rPr/>
              <w:t>DIRECTRICES</w:t>
            </w:r>
            <w:r>
              <w:rPr>
                <w:spacing w:val="-7"/>
              </w:rPr>
              <w:t> </w:t>
            </w:r>
            <w:r>
              <w:rPr/>
              <w:t>PARA</w:t>
            </w:r>
            <w:r>
              <w:rPr>
                <w:spacing w:val="-7"/>
              </w:rPr>
              <w:t> </w:t>
            </w:r>
            <w:r>
              <w:rPr/>
              <w:t>PERÍODOS</w:t>
            </w:r>
            <w:r>
              <w:rPr>
                <w:spacing w:val="-9"/>
              </w:rPr>
              <w:t> </w:t>
            </w:r>
            <w:r>
              <w:rPr>
                <w:spacing w:val="-2"/>
              </w:rPr>
              <w:t>ELECTORALES</w:t>
            </w:r>
          </w:hyperlink>
        </w:p>
        <w:p>
          <w:pPr>
            <w:pStyle w:val="TOC5"/>
            <w:tabs>
              <w:tab w:pos="4715" w:val="left" w:leader="dot"/>
            </w:tabs>
          </w:pPr>
          <w:r>
            <w:rPr>
              <w:spacing w:val="-10"/>
            </w:rPr>
            <w:t>.</w:t>
          </w:r>
          <w:r>
            <w:rPr/>
            <w:tab/>
          </w:r>
          <w:r>
            <w:rPr>
              <w:spacing w:val="-10"/>
            </w:rPr>
            <w:t>9</w:t>
          </w:r>
        </w:p>
        <w:p>
          <w:pPr>
            <w:pStyle w:val="TOC2"/>
            <w:numPr>
              <w:ilvl w:val="1"/>
              <w:numId w:val="2"/>
            </w:numPr>
            <w:tabs>
              <w:tab w:pos="1661" w:val="left" w:leader="none"/>
              <w:tab w:pos="1662" w:val="left" w:leader="none"/>
            </w:tabs>
            <w:spacing w:line="240" w:lineRule="auto" w:before="130" w:after="0"/>
            <w:ind w:left="1662" w:right="0" w:hanging="708"/>
            <w:jc w:val="left"/>
          </w:pPr>
          <w:hyperlink w:history="true" w:anchor="_TOC_250022">
            <w:r>
              <w:rPr/>
              <w:t>NIVELES</w:t>
            </w:r>
            <w:r>
              <w:rPr>
                <w:spacing w:val="-7"/>
              </w:rPr>
              <w:t> </w:t>
            </w:r>
            <w:r>
              <w:rPr/>
              <w:t>DE</w:t>
            </w:r>
            <w:r>
              <w:rPr>
                <w:spacing w:val="-4"/>
              </w:rPr>
              <w:t> </w:t>
            </w:r>
            <w:r>
              <w:rPr/>
              <w:t>SUBVENCIONES</w:t>
            </w:r>
            <w:r>
              <w:rPr>
                <w:spacing w:val="-5"/>
              </w:rPr>
              <w:t> </w:t>
            </w:r>
            <w:r>
              <w:rPr/>
              <w:t>Y</w:t>
            </w:r>
            <w:r>
              <w:rPr>
                <w:spacing w:val="-7"/>
              </w:rPr>
              <w:t> </w:t>
            </w:r>
            <w:r>
              <w:rPr/>
              <w:t>TAMAÑO</w:t>
            </w:r>
            <w:r>
              <w:rPr>
                <w:spacing w:val="-5"/>
              </w:rPr>
              <w:t> </w:t>
            </w:r>
            <w:r>
              <w:rPr/>
              <w:t>DE</w:t>
            </w:r>
            <w:r>
              <w:rPr>
                <w:spacing w:val="-6"/>
              </w:rPr>
              <w:t> </w:t>
            </w:r>
            <w:r>
              <w:rPr>
                <w:spacing w:val="-2"/>
              </w:rPr>
              <w:t>ASOCIACIONES</w:t>
            </w:r>
          </w:hyperlink>
        </w:p>
        <w:p>
          <w:pPr>
            <w:pStyle w:val="TOC5"/>
            <w:tabs>
              <w:tab w:pos="2827" w:val="left" w:leader="dot"/>
            </w:tabs>
          </w:pPr>
          <w:r>
            <w:rPr>
              <w:spacing w:val="-10"/>
            </w:rPr>
            <w:t>.</w:t>
          </w:r>
          <w:r>
            <w:rPr/>
            <w:tab/>
          </w:r>
          <w:r>
            <w:rPr>
              <w:spacing w:val="-10"/>
            </w:rPr>
            <w:t>9</w:t>
          </w:r>
        </w:p>
        <w:p>
          <w:pPr>
            <w:pStyle w:val="TOC2"/>
            <w:numPr>
              <w:ilvl w:val="1"/>
              <w:numId w:val="2"/>
            </w:numPr>
            <w:tabs>
              <w:tab w:pos="1661" w:val="left" w:leader="none"/>
              <w:tab w:pos="1662" w:val="left" w:leader="none"/>
              <w:tab w:pos="7626" w:val="left" w:leader="dot"/>
            </w:tabs>
            <w:spacing w:line="240" w:lineRule="auto" w:before="130" w:after="0"/>
            <w:ind w:left="1662" w:right="0" w:hanging="708"/>
            <w:jc w:val="left"/>
          </w:pPr>
          <w:hyperlink w:history="true" w:anchor="_TOC_250021">
            <w:r>
              <w:rPr/>
              <w:t>PROCESO</w:t>
            </w:r>
            <w:r>
              <w:rPr>
                <w:spacing w:val="-7"/>
              </w:rPr>
              <w:t> </w:t>
            </w:r>
            <w:r>
              <w:rPr/>
              <w:t>DEL</w:t>
            </w:r>
            <w:r>
              <w:rPr>
                <w:spacing w:val="-6"/>
              </w:rPr>
              <w:t> </w:t>
            </w:r>
            <w:r>
              <w:rPr/>
              <w:t>ACUERDO</w:t>
            </w:r>
            <w:r>
              <w:rPr>
                <w:spacing w:val="-6"/>
              </w:rPr>
              <w:t> </w:t>
            </w:r>
            <w:r>
              <w:rPr>
                <w:spacing w:val="-2"/>
              </w:rPr>
              <w:t>MARCO</w:t>
            </w:r>
            <w:r>
              <w:rPr/>
              <w:tab/>
            </w:r>
            <w:r>
              <w:rPr>
                <w:spacing w:val="-10"/>
              </w:rPr>
              <w:t>9</w:t>
            </w:r>
          </w:hyperlink>
        </w:p>
        <w:p>
          <w:pPr>
            <w:pStyle w:val="TOC2"/>
            <w:numPr>
              <w:ilvl w:val="1"/>
              <w:numId w:val="2"/>
            </w:numPr>
            <w:tabs>
              <w:tab w:pos="1661" w:val="left" w:leader="none"/>
              <w:tab w:pos="1662" w:val="left" w:leader="none"/>
            </w:tabs>
            <w:spacing w:line="240" w:lineRule="auto" w:before="130" w:after="0"/>
            <w:ind w:left="1662" w:right="0" w:hanging="708"/>
            <w:jc w:val="left"/>
          </w:pPr>
          <w:hyperlink w:history="true" w:anchor="_TOC_250020">
            <w:r>
              <w:rPr/>
              <w:t>CRITERIOS</w:t>
            </w:r>
            <w:r>
              <w:rPr>
                <w:spacing w:val="-6"/>
              </w:rPr>
              <w:t> </w:t>
            </w:r>
            <w:r>
              <w:rPr/>
              <w:t>DE</w:t>
            </w:r>
            <w:r>
              <w:rPr>
                <w:spacing w:val="-6"/>
              </w:rPr>
              <w:t> </w:t>
            </w:r>
            <w:r>
              <w:rPr>
                <w:spacing w:val="-2"/>
              </w:rPr>
              <w:t>EVALUACIÓN....................................................................</w:t>
            </w:r>
          </w:hyperlink>
        </w:p>
        <w:p>
          <w:pPr>
            <w:pStyle w:val="TOC5"/>
            <w:spacing w:before="27"/>
          </w:pPr>
          <w:r>
            <w:rPr>
              <w:spacing w:val="-5"/>
            </w:rPr>
            <w:t>10</w:t>
          </w:r>
        </w:p>
        <w:p>
          <w:pPr>
            <w:pStyle w:val="TOC2"/>
            <w:numPr>
              <w:ilvl w:val="1"/>
              <w:numId w:val="2"/>
            </w:numPr>
            <w:tabs>
              <w:tab w:pos="1661" w:val="left" w:leader="none"/>
              <w:tab w:pos="1662" w:val="left" w:leader="none"/>
              <w:tab w:pos="7783" w:val="left" w:leader="dot"/>
            </w:tabs>
            <w:spacing w:line="240" w:lineRule="auto" w:before="133" w:after="0"/>
            <w:ind w:left="1662" w:right="0" w:hanging="708"/>
            <w:jc w:val="left"/>
          </w:pPr>
          <w:hyperlink w:history="true" w:anchor="_TOC_250019">
            <w:r>
              <w:rPr/>
              <w:t>UNA</w:t>
            </w:r>
            <w:r>
              <w:rPr>
                <w:spacing w:val="-5"/>
              </w:rPr>
              <w:t> </w:t>
            </w:r>
            <w:r>
              <w:rPr/>
              <w:t>VEZ</w:t>
            </w:r>
            <w:r>
              <w:rPr>
                <w:spacing w:val="-5"/>
              </w:rPr>
              <w:t> </w:t>
            </w:r>
            <w:r>
              <w:rPr/>
              <w:t>EL</w:t>
            </w:r>
            <w:r>
              <w:rPr>
                <w:spacing w:val="-5"/>
              </w:rPr>
              <w:t> </w:t>
            </w:r>
            <w:r>
              <w:rPr/>
              <w:t>ACUERDO</w:t>
            </w:r>
            <w:r>
              <w:rPr>
                <w:spacing w:val="-3"/>
              </w:rPr>
              <w:t> </w:t>
            </w:r>
            <w:r>
              <w:rPr/>
              <w:t>MARCO</w:t>
            </w:r>
            <w:r>
              <w:rPr>
                <w:spacing w:val="-3"/>
              </w:rPr>
              <w:t> </w:t>
            </w:r>
            <w:r>
              <w:rPr/>
              <w:t>ESTÁ</w:t>
            </w:r>
            <w:r>
              <w:rPr>
                <w:spacing w:val="-7"/>
              </w:rPr>
              <w:t> </w:t>
            </w:r>
            <w:r>
              <w:rPr>
                <w:spacing w:val="-2"/>
              </w:rPr>
              <w:t>APROVADO</w:t>
            </w:r>
            <w:r>
              <w:rPr/>
              <w:tab/>
            </w:r>
            <w:r>
              <w:rPr>
                <w:spacing w:val="-5"/>
              </w:rPr>
              <w:t>11</w:t>
            </w:r>
          </w:hyperlink>
        </w:p>
        <w:p>
          <w:pPr>
            <w:pStyle w:val="TOC6"/>
            <w:numPr>
              <w:ilvl w:val="2"/>
              <w:numId w:val="2"/>
            </w:numPr>
            <w:tabs>
              <w:tab w:pos="2394" w:val="left" w:leader="none"/>
              <w:tab w:pos="2395" w:val="left" w:leader="none"/>
            </w:tabs>
            <w:spacing w:line="240" w:lineRule="auto" w:before="112" w:after="0"/>
            <w:ind w:left="2394" w:right="0" w:hanging="733"/>
            <w:jc w:val="left"/>
            <w:rPr>
              <w:i/>
            </w:rPr>
          </w:pPr>
          <w:r>
            <w:rPr>
              <w:i/>
            </w:rPr>
            <w:t>ORIENTACIÓN</w:t>
          </w:r>
          <w:r>
            <w:rPr>
              <w:i/>
              <w:spacing w:val="-6"/>
            </w:rPr>
            <w:t> </w:t>
          </w:r>
          <w:r>
            <w:rPr>
              <w:i/>
            </w:rPr>
            <w:t>GENERAL</w:t>
          </w:r>
          <w:r>
            <w:rPr>
              <w:i/>
              <w:spacing w:val="-5"/>
            </w:rPr>
            <w:t> </w:t>
          </w:r>
          <w:r>
            <w:rPr>
              <w:i/>
            </w:rPr>
            <w:t>EN</w:t>
          </w:r>
          <w:r>
            <w:rPr>
              <w:i/>
              <w:spacing w:val="-5"/>
            </w:rPr>
            <w:t> </w:t>
          </w:r>
          <w:r>
            <w:rPr>
              <w:i/>
            </w:rPr>
            <w:t>EL</w:t>
          </w:r>
          <w:r>
            <w:rPr>
              <w:i/>
              <w:spacing w:val="-5"/>
            </w:rPr>
            <w:t> </w:t>
          </w:r>
          <w:r>
            <w:rPr>
              <w:i/>
            </w:rPr>
            <w:t>DESARROLLO</w:t>
          </w:r>
          <w:r>
            <w:rPr>
              <w:i/>
              <w:spacing w:val="-6"/>
            </w:rPr>
            <w:t> </w:t>
          </w:r>
          <w:r>
            <w:rPr>
              <w:i/>
            </w:rPr>
            <w:t>DEL</w:t>
          </w:r>
          <w:r>
            <w:rPr>
              <w:i/>
              <w:spacing w:val="-5"/>
            </w:rPr>
            <w:t> </w:t>
          </w:r>
          <w:r>
            <w:rPr>
              <w:i/>
              <w:spacing w:val="-2"/>
            </w:rPr>
            <w:t>PRESUPUESTO</w:t>
          </w:r>
        </w:p>
        <w:p>
          <w:pPr>
            <w:pStyle w:val="TOC7"/>
            <w:tabs>
              <w:tab w:pos="3246" w:val="left" w:leader="dot"/>
            </w:tabs>
            <w:spacing w:before="17"/>
            <w:rPr>
              <w:i/>
            </w:rPr>
          </w:pPr>
          <w:r>
            <w:rPr>
              <w:i/>
              <w:spacing w:val="-10"/>
            </w:rPr>
            <w:t>.</w:t>
          </w:r>
          <w:r>
            <w:rPr>
              <w:i/>
            </w:rPr>
            <w:tab/>
          </w:r>
          <w:r>
            <w:rPr>
              <w:i/>
              <w:spacing w:val="-5"/>
            </w:rPr>
            <w:t>11</w:t>
          </w:r>
        </w:p>
        <w:p>
          <w:pPr>
            <w:pStyle w:val="TOC6"/>
            <w:numPr>
              <w:ilvl w:val="2"/>
              <w:numId w:val="2"/>
            </w:numPr>
            <w:tabs>
              <w:tab w:pos="2394" w:val="left" w:leader="none"/>
              <w:tab w:pos="2395" w:val="left" w:leader="none"/>
            </w:tabs>
            <w:spacing w:line="240" w:lineRule="auto" w:before="19" w:after="0"/>
            <w:ind w:left="2394" w:right="0" w:hanging="733"/>
            <w:jc w:val="left"/>
            <w:rPr>
              <w:i/>
            </w:rPr>
          </w:pPr>
          <w:r>
            <w:rPr>
              <w:i/>
            </w:rPr>
            <w:t>RESUMEN</w:t>
          </w:r>
          <w:r>
            <w:rPr>
              <w:i/>
              <w:spacing w:val="-4"/>
            </w:rPr>
            <w:t> </w:t>
          </w:r>
          <w:r>
            <w:rPr>
              <w:i/>
            </w:rPr>
            <w:t>DE</w:t>
          </w:r>
          <w:r>
            <w:rPr>
              <w:i/>
              <w:spacing w:val="-4"/>
            </w:rPr>
            <w:t> </w:t>
          </w:r>
          <w:r>
            <w:rPr>
              <w:i/>
            </w:rPr>
            <w:t>FORMATO</w:t>
          </w:r>
          <w:r>
            <w:rPr>
              <w:i/>
              <w:spacing w:val="-4"/>
            </w:rPr>
            <w:t> </w:t>
          </w:r>
          <w:r>
            <w:rPr>
              <w:i/>
            </w:rPr>
            <w:t>DE</w:t>
          </w:r>
          <w:r>
            <w:rPr>
              <w:i/>
              <w:spacing w:val="-2"/>
            </w:rPr>
            <w:t> </w:t>
          </w:r>
          <w:r>
            <w:rPr>
              <w:i/>
            </w:rPr>
            <w:t>PRESUPUESTOS</w:t>
          </w:r>
          <w:r>
            <w:rPr>
              <w:i/>
              <w:spacing w:val="-4"/>
            </w:rPr>
            <w:t> </w:t>
          </w:r>
          <w:r>
            <w:rPr>
              <w:i/>
            </w:rPr>
            <w:t>DE</w:t>
          </w:r>
          <w:r>
            <w:rPr>
              <w:i/>
              <w:spacing w:val="-3"/>
            </w:rPr>
            <w:t> </w:t>
          </w:r>
          <w:r>
            <w:rPr>
              <w:i/>
              <w:spacing w:val="-4"/>
            </w:rPr>
            <w:t>DIPD</w:t>
          </w:r>
        </w:p>
        <w:p>
          <w:pPr>
            <w:pStyle w:val="TOC7"/>
            <w:tabs>
              <w:tab w:pos="4792" w:val="left" w:leader="dot"/>
            </w:tabs>
            <w:rPr>
              <w:i/>
            </w:rPr>
          </w:pPr>
          <w:r>
            <w:rPr>
              <w:i/>
              <w:spacing w:val="-10"/>
            </w:rPr>
            <w:t>.</w:t>
          </w:r>
          <w:r>
            <w:rPr>
              <w:i/>
            </w:rPr>
            <w:tab/>
          </w:r>
          <w:r>
            <w:rPr>
              <w:i/>
              <w:spacing w:val="-5"/>
            </w:rPr>
            <w:t>12</w:t>
          </w:r>
        </w:p>
        <w:p>
          <w:pPr>
            <w:pStyle w:val="TOC6"/>
            <w:numPr>
              <w:ilvl w:val="2"/>
              <w:numId w:val="2"/>
            </w:numPr>
            <w:tabs>
              <w:tab w:pos="2336" w:val="left" w:leader="none"/>
              <w:tab w:pos="2337" w:val="left" w:leader="none"/>
              <w:tab w:pos="7929" w:val="left" w:leader="dot"/>
            </w:tabs>
            <w:spacing w:line="240" w:lineRule="auto" w:before="24" w:after="0"/>
            <w:ind w:left="2337" w:right="0" w:hanging="661"/>
            <w:jc w:val="left"/>
            <w:rPr>
              <w:i/>
            </w:rPr>
          </w:pPr>
          <w:hyperlink w:history="true" w:anchor="_TOC_250018">
            <w:r>
              <w:rPr>
                <w:i/>
              </w:rPr>
              <w:t>GASTOS</w:t>
            </w:r>
            <w:r>
              <w:rPr>
                <w:i/>
                <w:spacing w:val="-2"/>
              </w:rPr>
              <w:t> </w:t>
            </w:r>
            <w:r>
              <w:rPr>
                <w:i/>
              </w:rPr>
              <w:t>Y</w:t>
            </w:r>
            <w:r>
              <w:rPr>
                <w:i/>
                <w:spacing w:val="-1"/>
              </w:rPr>
              <w:t> </w:t>
            </w:r>
            <w:r>
              <w:rPr>
                <w:i/>
              </w:rPr>
              <w:t>LÍNEAS</w:t>
            </w:r>
            <w:r>
              <w:rPr>
                <w:i/>
                <w:spacing w:val="-2"/>
              </w:rPr>
              <w:t> </w:t>
            </w:r>
            <w:r>
              <w:rPr>
                <w:i/>
              </w:rPr>
              <w:t>DE</w:t>
            </w:r>
            <w:r>
              <w:rPr>
                <w:i/>
                <w:spacing w:val="-1"/>
              </w:rPr>
              <w:t> </w:t>
            </w:r>
            <w:r>
              <w:rPr>
                <w:i/>
                <w:spacing w:val="-2"/>
              </w:rPr>
              <w:t>PRESUPUESTOS</w:t>
            </w:r>
            <w:r>
              <w:rPr>
                <w:i/>
              </w:rPr>
              <w:tab/>
            </w:r>
            <w:r>
              <w:rPr>
                <w:i/>
                <w:spacing w:val="-5"/>
              </w:rPr>
              <w:t>13</w:t>
            </w:r>
          </w:hyperlink>
        </w:p>
        <w:p>
          <w:pPr>
            <w:pStyle w:val="TOC2"/>
            <w:numPr>
              <w:ilvl w:val="1"/>
              <w:numId w:val="2"/>
            </w:numPr>
            <w:tabs>
              <w:tab w:pos="1661" w:val="left" w:leader="none"/>
              <w:tab w:pos="1662" w:val="left" w:leader="none"/>
              <w:tab w:pos="7538" w:val="left" w:leader="dot"/>
            </w:tabs>
            <w:spacing w:line="240" w:lineRule="auto" w:before="119" w:after="0"/>
            <w:ind w:left="1662" w:right="0" w:hanging="708"/>
            <w:jc w:val="left"/>
          </w:pPr>
          <w:hyperlink w:history="true" w:anchor="_TOC_250017">
            <w:r>
              <w:rPr/>
              <w:t>INFORMES,</w:t>
            </w:r>
            <w:r>
              <w:rPr>
                <w:spacing w:val="-7"/>
              </w:rPr>
              <w:t> </w:t>
            </w:r>
            <w:r>
              <w:rPr/>
              <w:t>MONITOREO</w:t>
            </w:r>
            <w:r>
              <w:rPr>
                <w:spacing w:val="-7"/>
              </w:rPr>
              <w:t> </w:t>
            </w:r>
            <w:r>
              <w:rPr/>
              <w:t>Y</w:t>
            </w:r>
            <w:r>
              <w:rPr>
                <w:spacing w:val="-8"/>
              </w:rPr>
              <w:t> </w:t>
            </w:r>
            <w:r>
              <w:rPr>
                <w:spacing w:val="-2"/>
              </w:rPr>
              <w:t>REVISIÓN</w:t>
            </w:r>
            <w:r>
              <w:rPr/>
              <w:tab/>
            </w:r>
            <w:r>
              <w:rPr>
                <w:spacing w:val="-5"/>
              </w:rPr>
              <w:t>17</w:t>
            </w:r>
          </w:hyperlink>
        </w:p>
        <w:p>
          <w:pPr>
            <w:pStyle w:val="TOC6"/>
            <w:numPr>
              <w:ilvl w:val="2"/>
              <w:numId w:val="2"/>
            </w:numPr>
            <w:tabs>
              <w:tab w:pos="2394" w:val="left" w:leader="none"/>
              <w:tab w:pos="2395" w:val="left" w:leader="none"/>
              <w:tab w:pos="4386" w:val="left" w:leader="dot"/>
            </w:tabs>
            <w:spacing w:line="259" w:lineRule="auto" w:before="128" w:after="0"/>
            <w:ind w:left="2394" w:right="2487" w:hanging="733"/>
            <w:jc w:val="left"/>
          </w:pPr>
          <w:r>
            <w:rPr>
              <w:i/>
            </w:rPr>
            <w:t>REVISIONES,</w:t>
          </w:r>
          <w:r>
            <w:rPr>
              <w:i/>
              <w:spacing w:val="-8"/>
            </w:rPr>
            <w:t> </w:t>
          </w:r>
          <w:r>
            <w:rPr>
              <w:i/>
            </w:rPr>
            <w:t>EVALUACIONES</w:t>
          </w:r>
          <w:r>
            <w:rPr>
              <w:i/>
              <w:spacing w:val="-8"/>
            </w:rPr>
            <w:t> </w:t>
          </w:r>
          <w:r>
            <w:rPr>
              <w:i/>
            </w:rPr>
            <w:t>Y</w:t>
          </w:r>
          <w:r>
            <w:rPr>
              <w:i/>
              <w:spacing w:val="-8"/>
            </w:rPr>
            <w:t> </w:t>
          </w:r>
          <w:r>
            <w:rPr>
              <w:i/>
            </w:rPr>
            <w:t>EJERECICIOS</w:t>
          </w:r>
          <w:r>
            <w:rPr>
              <w:i/>
              <w:spacing w:val="-9"/>
            </w:rPr>
            <w:t> </w:t>
          </w:r>
          <w:r>
            <w:rPr>
              <w:i/>
            </w:rPr>
            <w:t>DE</w:t>
          </w:r>
          <w:r>
            <w:rPr/>
            <w:t> </w:t>
          </w:r>
          <w:r>
            <w:rPr>
              <w:spacing w:val="-2"/>
            </w:rPr>
            <w:t>APRENDIZAJE</w:t>
          </w:r>
          <w:r>
            <w:rPr/>
            <w:tab/>
          </w:r>
          <w:r>
            <w:rPr>
              <w:spacing w:val="-6"/>
            </w:rPr>
            <w:t>16</w:t>
          </w:r>
        </w:p>
        <w:p>
          <w:pPr>
            <w:pStyle w:val="TOC2"/>
            <w:numPr>
              <w:ilvl w:val="0"/>
              <w:numId w:val="2"/>
            </w:numPr>
            <w:tabs>
              <w:tab w:pos="1175" w:val="left" w:leader="none"/>
            </w:tabs>
            <w:spacing w:line="240" w:lineRule="auto" w:before="110" w:after="0"/>
            <w:ind w:left="1174" w:right="0" w:hanging="221"/>
            <w:jc w:val="left"/>
          </w:pPr>
          <w:hyperlink w:history="true" w:anchor="_TOC_250016">
            <w:r>
              <w:rPr/>
              <w:t>ADMINISTRACIÓN</w:t>
            </w:r>
            <w:r>
              <w:rPr>
                <w:spacing w:val="-6"/>
              </w:rPr>
              <w:t> </w:t>
            </w:r>
            <w:r>
              <w:rPr/>
              <w:t>DE</w:t>
            </w:r>
            <w:r>
              <w:rPr>
                <w:spacing w:val="-7"/>
              </w:rPr>
              <w:t> </w:t>
            </w:r>
            <w:r>
              <w:rPr/>
              <w:t>LA</w:t>
            </w:r>
            <w:r>
              <w:rPr>
                <w:spacing w:val="-7"/>
              </w:rPr>
              <w:t> </w:t>
            </w:r>
            <w:r>
              <w:rPr>
                <w:spacing w:val="-2"/>
              </w:rPr>
              <w:t>SUBVENCIÓN</w:t>
            </w:r>
          </w:hyperlink>
        </w:p>
        <w:p>
          <w:pPr>
            <w:pStyle w:val="TOC4"/>
            <w:tabs>
              <w:tab w:pos="5394" w:val="left" w:leader="dot"/>
            </w:tabs>
          </w:pPr>
          <w:r>
            <w:rPr>
              <w:spacing w:val="-10"/>
            </w:rPr>
            <w:t>.</w:t>
          </w:r>
          <w:r>
            <w:rPr/>
            <w:tab/>
          </w:r>
          <w:r>
            <w:rPr>
              <w:spacing w:val="-5"/>
            </w:rPr>
            <w:t>18</w:t>
          </w:r>
        </w:p>
        <w:p>
          <w:pPr>
            <w:pStyle w:val="TOC2"/>
            <w:numPr>
              <w:ilvl w:val="1"/>
              <w:numId w:val="2"/>
            </w:numPr>
            <w:tabs>
              <w:tab w:pos="1661" w:val="left" w:leader="none"/>
              <w:tab w:pos="1662" w:val="left" w:leader="none"/>
              <w:tab w:pos="7936" w:val="left" w:leader="dot"/>
            </w:tabs>
            <w:spacing w:line="240" w:lineRule="auto" w:before="130" w:after="0"/>
            <w:ind w:left="1662" w:right="0" w:hanging="708"/>
            <w:jc w:val="left"/>
          </w:pPr>
          <w:hyperlink w:history="true" w:anchor="_TOC_250015">
            <w:r>
              <w:rPr>
                <w:spacing w:val="-2"/>
              </w:rPr>
              <w:t>INTRODUCCIÓN</w:t>
            </w:r>
            <w:r>
              <w:rPr/>
              <w:tab/>
            </w:r>
            <w:r>
              <w:rPr>
                <w:spacing w:val="-5"/>
              </w:rPr>
              <w:t>18</w:t>
            </w:r>
          </w:hyperlink>
        </w:p>
        <w:p>
          <w:pPr>
            <w:pStyle w:val="TOC2"/>
            <w:numPr>
              <w:ilvl w:val="1"/>
              <w:numId w:val="2"/>
            </w:numPr>
            <w:tabs>
              <w:tab w:pos="1661" w:val="left" w:leader="none"/>
              <w:tab w:pos="1662" w:val="left" w:leader="none"/>
              <w:tab w:pos="7570" w:val="left" w:leader="dot"/>
            </w:tabs>
            <w:spacing w:line="240" w:lineRule="auto" w:before="130" w:after="0"/>
            <w:ind w:left="1662" w:right="0" w:hanging="708"/>
            <w:jc w:val="left"/>
          </w:pPr>
          <w:hyperlink w:history="true" w:anchor="_TOC_250014">
            <w:r>
              <w:rPr/>
              <w:t>REQUISITOS</w:t>
            </w:r>
            <w:r>
              <w:rPr>
                <w:spacing w:val="-6"/>
              </w:rPr>
              <w:t> </w:t>
            </w:r>
            <w:r>
              <w:rPr/>
              <w:t>Y</w:t>
            </w:r>
            <w:r>
              <w:rPr>
                <w:spacing w:val="-7"/>
              </w:rPr>
              <w:t> </w:t>
            </w:r>
            <w:r>
              <w:rPr>
                <w:spacing w:val="-2"/>
              </w:rPr>
              <w:t>RESPONSABILIDADES</w:t>
            </w:r>
            <w:r>
              <w:rPr/>
              <w:tab/>
            </w:r>
            <w:r>
              <w:rPr>
                <w:spacing w:val="-5"/>
              </w:rPr>
              <w:t>18</w:t>
            </w:r>
          </w:hyperlink>
        </w:p>
        <w:p>
          <w:pPr>
            <w:pStyle w:val="TOC2"/>
            <w:numPr>
              <w:ilvl w:val="1"/>
              <w:numId w:val="2"/>
            </w:numPr>
            <w:tabs>
              <w:tab w:pos="1661" w:val="left" w:leader="none"/>
              <w:tab w:pos="1662" w:val="left" w:leader="none"/>
              <w:tab w:pos="7869" w:val="left" w:leader="dot"/>
            </w:tabs>
            <w:spacing w:line="240" w:lineRule="auto" w:before="130" w:after="0"/>
            <w:ind w:left="1662" w:right="0" w:hanging="708"/>
            <w:jc w:val="left"/>
          </w:pPr>
          <w:hyperlink w:history="true" w:anchor="_TOC_250013">
            <w:r>
              <w:rPr/>
              <w:t>PRINCIPIOS</w:t>
            </w:r>
            <w:r>
              <w:rPr>
                <w:spacing w:val="-8"/>
              </w:rPr>
              <w:t> </w:t>
            </w:r>
            <w:r>
              <w:rPr/>
              <w:t>DE</w:t>
            </w:r>
            <w:r>
              <w:rPr>
                <w:spacing w:val="-8"/>
              </w:rPr>
              <w:t> </w:t>
            </w:r>
            <w:r>
              <w:rPr/>
              <w:t>ANTI-</w:t>
            </w:r>
            <w:r>
              <w:rPr>
                <w:spacing w:val="-2"/>
              </w:rPr>
              <w:t>CORRUPCIÓN</w:t>
            </w:r>
            <w:r>
              <w:rPr/>
              <w:tab/>
            </w:r>
            <w:r>
              <w:rPr>
                <w:spacing w:val="-5"/>
              </w:rPr>
              <w:t>19</w:t>
            </w:r>
          </w:hyperlink>
        </w:p>
        <w:p>
          <w:pPr>
            <w:pStyle w:val="TOC2"/>
            <w:numPr>
              <w:ilvl w:val="1"/>
              <w:numId w:val="2"/>
            </w:numPr>
            <w:tabs>
              <w:tab w:pos="1661" w:val="left" w:leader="none"/>
              <w:tab w:pos="1662" w:val="left" w:leader="none"/>
              <w:tab w:pos="2972" w:val="left" w:leader="dot"/>
            </w:tabs>
            <w:spacing w:line="271" w:lineRule="auto" w:before="130" w:after="0"/>
            <w:ind w:left="1662" w:right="1164" w:hanging="708"/>
            <w:jc w:val="left"/>
          </w:pPr>
          <w:r>
            <w:rPr/>
            <w:t>INCUMPLIMIENTO</w:t>
          </w:r>
          <w:r>
            <w:rPr>
              <w:spacing w:val="-5"/>
            </w:rPr>
            <w:t> </w:t>
          </w:r>
          <w:r>
            <w:rPr/>
            <w:t>DE</w:t>
          </w:r>
          <w:r>
            <w:rPr>
              <w:spacing w:val="-5"/>
            </w:rPr>
            <w:t> </w:t>
          </w:r>
          <w:r>
            <w:rPr/>
            <w:t>LAS</w:t>
          </w:r>
          <w:r>
            <w:rPr>
              <w:spacing w:val="-6"/>
            </w:rPr>
            <w:t> </w:t>
          </w:r>
          <w:r>
            <w:rPr/>
            <w:t>CONDICIONES</w:t>
          </w:r>
          <w:r>
            <w:rPr>
              <w:spacing w:val="-2"/>
            </w:rPr>
            <w:t> </w:t>
          </w:r>
          <w:r>
            <w:rPr/>
            <w:t>AL</w:t>
          </w:r>
          <w:r>
            <w:rPr>
              <w:spacing w:val="-6"/>
            </w:rPr>
            <w:t> </w:t>
          </w:r>
          <w:r>
            <w:rPr/>
            <w:t>RECIBIR</w:t>
          </w:r>
          <w:r>
            <w:rPr>
              <w:spacing w:val="-6"/>
            </w:rPr>
            <w:t> </w:t>
          </w:r>
          <w:r>
            <w:rPr/>
            <w:t>FONDOS</w:t>
          </w:r>
          <w:r>
            <w:rPr>
              <w:spacing w:val="-6"/>
            </w:rPr>
            <w:t> </w:t>
          </w:r>
          <w:r>
            <w:rPr/>
            <w:t>DE </w:t>
          </w:r>
          <w:r>
            <w:rPr>
              <w:spacing w:val="-4"/>
            </w:rPr>
            <w:t>DIPD</w:t>
          </w:r>
          <w:r>
            <w:rPr/>
            <w:tab/>
          </w:r>
          <w:r>
            <w:rPr>
              <w:spacing w:val="-6"/>
            </w:rPr>
            <w:t>20</w:t>
          </w:r>
        </w:p>
        <w:p>
          <w:pPr>
            <w:pStyle w:val="TOC6"/>
            <w:numPr>
              <w:ilvl w:val="2"/>
              <w:numId w:val="2"/>
            </w:numPr>
            <w:tabs>
              <w:tab w:pos="2394" w:val="left" w:leader="none"/>
              <w:tab w:pos="2395" w:val="left" w:leader="none"/>
              <w:tab w:pos="7747" w:val="left" w:leader="dot"/>
            </w:tabs>
            <w:spacing w:line="240" w:lineRule="auto" w:before="99" w:after="240"/>
            <w:ind w:left="2394" w:right="0" w:hanging="733"/>
            <w:jc w:val="left"/>
            <w:rPr>
              <w:i/>
            </w:rPr>
          </w:pPr>
          <w:r>
            <w:rPr/>
            <w:pict>
              <v:line style="position:absolute;mso-position-horizontal-relative:page;mso-position-vertical-relative:paragraph;z-index:15733760" from="111.949997pt,54.391895pt" to="249.499997pt,54.391895pt" stroked="true" strokeweight=".96pt" strokecolor="#000000">
                <v:stroke dashstyle="shortdot"/>
                <w10:wrap type="none"/>
              </v:line>
            </w:pict>
          </w:r>
          <w:hyperlink w:history="true" w:anchor="_TOC_250012">
            <w:r>
              <w:rPr>
                <w:i/>
              </w:rPr>
              <w:t>CONCLUSIÓN</w:t>
            </w:r>
            <w:r>
              <w:rPr>
                <w:i/>
                <w:spacing w:val="-6"/>
              </w:rPr>
              <w:t> </w:t>
            </w:r>
            <w:r>
              <w:rPr>
                <w:i/>
              </w:rPr>
              <w:t>DEL</w:t>
            </w:r>
            <w:r>
              <w:rPr>
                <w:i/>
                <w:spacing w:val="-6"/>
              </w:rPr>
              <w:t> </w:t>
            </w:r>
            <w:r>
              <w:rPr>
                <w:i/>
              </w:rPr>
              <w:t>ACUERDO</w:t>
            </w:r>
            <w:r>
              <w:rPr>
                <w:i/>
                <w:spacing w:val="-6"/>
              </w:rPr>
              <w:t> </w:t>
            </w:r>
            <w:r>
              <w:rPr>
                <w:i/>
              </w:rPr>
              <w:t>DE</w:t>
            </w:r>
            <w:r>
              <w:rPr>
                <w:i/>
                <w:spacing w:val="-6"/>
              </w:rPr>
              <w:t> </w:t>
            </w:r>
            <w:r>
              <w:rPr>
                <w:i/>
                <w:spacing w:val="-2"/>
              </w:rPr>
              <w:t>COOPERACIÓN</w:t>
            </w:r>
            <w:r>
              <w:rPr>
                <w:i/>
              </w:rPr>
              <w:tab/>
            </w:r>
            <w:r>
              <w:rPr>
                <w:i/>
                <w:spacing w:val="-5"/>
              </w:rPr>
              <w:t>20</w:t>
            </w:r>
          </w:hyperlink>
        </w:p>
        <w:p>
          <w:pPr>
            <w:pStyle w:val="TOC6"/>
            <w:numPr>
              <w:ilvl w:val="2"/>
              <w:numId w:val="2"/>
            </w:numPr>
            <w:tabs>
              <w:tab w:pos="2394" w:val="left" w:leader="none"/>
              <w:tab w:pos="2395" w:val="left" w:leader="none"/>
              <w:tab w:pos="7639" w:val="left" w:leader="dot"/>
            </w:tabs>
            <w:spacing w:line="240" w:lineRule="auto" w:before="184" w:after="0"/>
            <w:ind w:left="2394" w:right="0" w:hanging="733"/>
            <w:jc w:val="left"/>
            <w:rPr>
              <w:i/>
            </w:rPr>
          </w:pPr>
          <w:r>
            <w:rPr/>
            <w:pict>
              <v:line style="position:absolute;mso-position-horizontal-relative:page;mso-position-vertical-relative:page;z-index:15734272" from="345.899994pt,788.599976pt" to="483.549994pt,788.599976pt" stroked="true" strokeweight=".96pt" strokecolor="#000000">
                <v:stroke dashstyle="shortdot"/>
                <w10:wrap type="none"/>
              </v:line>
            </w:pict>
          </w:r>
          <w:hyperlink w:history="true" w:anchor="_TOC_250011">
            <w:r>
              <w:rPr>
                <w:i/>
              </w:rPr>
              <w:t>PAGO</w:t>
            </w:r>
            <w:r>
              <w:rPr>
                <w:i/>
                <w:spacing w:val="-3"/>
              </w:rPr>
              <w:t> </w:t>
            </w:r>
            <w:r>
              <w:rPr>
                <w:i/>
              </w:rPr>
              <w:t>DE</w:t>
            </w:r>
            <w:r>
              <w:rPr>
                <w:i/>
                <w:spacing w:val="-2"/>
              </w:rPr>
              <w:t> FONDOS</w:t>
            </w:r>
            <w:r>
              <w:rPr>
                <w:i/>
              </w:rPr>
              <w:tab/>
            </w:r>
            <w:r>
              <w:rPr>
                <w:i/>
                <w:spacing w:val="-5"/>
              </w:rPr>
              <w:t>21</w:t>
            </w:r>
          </w:hyperlink>
        </w:p>
        <w:p>
          <w:pPr>
            <w:pStyle w:val="TOC2"/>
            <w:numPr>
              <w:ilvl w:val="1"/>
              <w:numId w:val="2"/>
            </w:numPr>
            <w:tabs>
              <w:tab w:pos="1661" w:val="left" w:leader="none"/>
              <w:tab w:pos="1662" w:val="left" w:leader="none"/>
              <w:tab w:pos="7795" w:val="left" w:leader="dot"/>
            </w:tabs>
            <w:spacing w:line="240" w:lineRule="auto" w:before="122" w:after="0"/>
            <w:ind w:left="1662" w:right="0" w:hanging="708"/>
            <w:jc w:val="left"/>
          </w:pPr>
          <w:hyperlink w:history="true" w:anchor="_TOC_250010">
            <w:r>
              <w:rPr/>
              <w:t>PROCESOS</w:t>
            </w:r>
            <w:r>
              <w:rPr>
                <w:spacing w:val="-11"/>
              </w:rPr>
              <w:t> </w:t>
            </w:r>
            <w:r>
              <w:rPr>
                <w:spacing w:val="-2"/>
              </w:rPr>
              <w:t>ADMINISTRATIVOS</w:t>
            </w:r>
            <w:r>
              <w:rPr/>
              <w:tab/>
            </w:r>
            <w:r>
              <w:rPr>
                <w:spacing w:val="-5"/>
              </w:rPr>
              <w:t>21</w:t>
            </w:r>
          </w:hyperlink>
        </w:p>
        <w:p>
          <w:pPr>
            <w:pStyle w:val="TOC6"/>
            <w:numPr>
              <w:ilvl w:val="2"/>
              <w:numId w:val="2"/>
            </w:numPr>
            <w:tabs>
              <w:tab w:pos="2394" w:val="left" w:leader="none"/>
              <w:tab w:pos="2395" w:val="left" w:leader="none"/>
            </w:tabs>
            <w:spacing w:line="240" w:lineRule="auto" w:before="111" w:after="0"/>
            <w:ind w:left="2394" w:right="0" w:hanging="733"/>
            <w:jc w:val="left"/>
            <w:rPr>
              <w:i/>
            </w:rPr>
          </w:pPr>
          <w:hyperlink w:history="true" w:anchor="_TOC_250009">
            <w:r>
              <w:rPr>
                <w:i/>
              </w:rPr>
              <w:t>ACUERDOS</w:t>
            </w:r>
            <w:r>
              <w:rPr>
                <w:i/>
                <w:spacing w:val="-6"/>
              </w:rPr>
              <w:t> </w:t>
            </w:r>
            <w:r>
              <w:rPr>
                <w:i/>
              </w:rPr>
              <w:t>BANCARIOS</w:t>
            </w:r>
            <w:r>
              <w:rPr>
                <w:i/>
                <w:spacing w:val="-5"/>
              </w:rPr>
              <w:t> </w:t>
            </w:r>
            <w:r>
              <w:rPr>
                <w:i/>
              </w:rPr>
              <w:t>Y</w:t>
            </w:r>
            <w:r>
              <w:rPr>
                <w:i/>
                <w:spacing w:val="-5"/>
              </w:rPr>
              <w:t> </w:t>
            </w:r>
            <w:r>
              <w:rPr>
                <w:i/>
              </w:rPr>
              <w:t>CUENTA</w:t>
            </w:r>
            <w:r>
              <w:rPr>
                <w:i/>
                <w:spacing w:val="-6"/>
              </w:rPr>
              <w:t> </w:t>
            </w:r>
            <w:r>
              <w:rPr>
                <w:i/>
              </w:rPr>
              <w:t>BANCARIA</w:t>
            </w:r>
            <w:r>
              <w:rPr>
                <w:i/>
                <w:spacing w:val="-4"/>
              </w:rPr>
              <w:t> </w:t>
            </w:r>
            <w:r>
              <w:rPr>
                <w:i/>
                <w:spacing w:val="-2"/>
              </w:rPr>
              <w:t>INDEPENDIENTE</w:t>
            </w:r>
          </w:hyperlink>
        </w:p>
        <w:p>
          <w:pPr>
            <w:pStyle w:val="TOC7"/>
            <w:tabs>
              <w:tab w:pos="3095" w:val="left" w:leader="dot"/>
            </w:tabs>
            <w:spacing w:before="18"/>
            <w:rPr>
              <w:i/>
            </w:rPr>
          </w:pPr>
          <w:r>
            <w:rPr>
              <w:i/>
              <w:spacing w:val="-10"/>
            </w:rPr>
            <w:t>.</w:t>
          </w:r>
          <w:r>
            <w:rPr>
              <w:i/>
            </w:rPr>
            <w:tab/>
          </w:r>
          <w:r>
            <w:rPr>
              <w:i/>
              <w:spacing w:val="-5"/>
            </w:rPr>
            <w:t>21</w:t>
          </w:r>
        </w:p>
        <w:p>
          <w:pPr>
            <w:pStyle w:val="TOC6"/>
            <w:numPr>
              <w:ilvl w:val="2"/>
              <w:numId w:val="2"/>
            </w:numPr>
            <w:tabs>
              <w:tab w:pos="2394" w:val="left" w:leader="none"/>
              <w:tab w:pos="2395" w:val="left" w:leader="none"/>
            </w:tabs>
            <w:spacing w:line="240" w:lineRule="auto" w:before="19" w:after="0"/>
            <w:ind w:left="2394" w:right="0" w:hanging="733"/>
            <w:jc w:val="left"/>
            <w:rPr>
              <w:i/>
            </w:rPr>
          </w:pPr>
          <w:r>
            <w:rPr>
              <w:i/>
            </w:rPr>
            <w:t>2.5.2</w:t>
          </w:r>
          <w:r>
            <w:rPr>
              <w:i/>
              <w:spacing w:val="-5"/>
            </w:rPr>
            <w:t> </w:t>
          </w:r>
          <w:r>
            <w:rPr>
              <w:i/>
            </w:rPr>
            <w:t>FUNCIÓN</w:t>
          </w:r>
          <w:r>
            <w:rPr>
              <w:i/>
              <w:spacing w:val="-4"/>
            </w:rPr>
            <w:t> </w:t>
          </w:r>
          <w:r>
            <w:rPr>
              <w:i/>
            </w:rPr>
            <w:t>DE</w:t>
          </w:r>
          <w:r>
            <w:rPr>
              <w:i/>
              <w:spacing w:val="-4"/>
            </w:rPr>
            <w:t> </w:t>
          </w:r>
          <w:r>
            <w:rPr>
              <w:i/>
            </w:rPr>
            <w:t>TENEDURÍA</w:t>
          </w:r>
          <w:r>
            <w:rPr>
              <w:i/>
              <w:spacing w:val="-3"/>
            </w:rPr>
            <w:t> </w:t>
          </w:r>
          <w:r>
            <w:rPr>
              <w:i/>
            </w:rPr>
            <w:t>DE</w:t>
          </w:r>
          <w:r>
            <w:rPr>
              <w:i/>
              <w:spacing w:val="-3"/>
            </w:rPr>
            <w:t> </w:t>
          </w:r>
          <w:r>
            <w:rPr>
              <w:i/>
            </w:rPr>
            <w:t>LIBROS</w:t>
          </w:r>
          <w:r>
            <w:rPr>
              <w:i/>
              <w:spacing w:val="-4"/>
            </w:rPr>
            <w:t> </w:t>
          </w:r>
          <w:r>
            <w:rPr>
              <w:i/>
            </w:rPr>
            <w:t>Y</w:t>
          </w:r>
          <w:r>
            <w:rPr>
              <w:i/>
              <w:spacing w:val="-3"/>
            </w:rPr>
            <w:t> </w:t>
          </w:r>
          <w:r>
            <w:rPr>
              <w:i/>
              <w:spacing w:val="-2"/>
            </w:rPr>
            <w:t>CONTABILIDAD</w:t>
          </w:r>
        </w:p>
        <w:p>
          <w:pPr>
            <w:pStyle w:val="TOC7"/>
            <w:tabs>
              <w:tab w:pos="3796" w:val="left" w:leader="dot"/>
            </w:tabs>
            <w:rPr>
              <w:i/>
            </w:rPr>
          </w:pPr>
          <w:r>
            <w:rPr>
              <w:i/>
              <w:spacing w:val="-10"/>
            </w:rPr>
            <w:t>.</w:t>
          </w:r>
          <w:r>
            <w:rPr>
              <w:i/>
            </w:rPr>
            <w:tab/>
          </w:r>
          <w:r>
            <w:rPr>
              <w:i/>
              <w:spacing w:val="-5"/>
            </w:rPr>
            <w:t>21</w:t>
          </w:r>
        </w:p>
        <w:p>
          <w:pPr>
            <w:pStyle w:val="TOC6"/>
            <w:numPr>
              <w:ilvl w:val="2"/>
              <w:numId w:val="2"/>
            </w:numPr>
            <w:tabs>
              <w:tab w:pos="2394" w:val="left" w:leader="none"/>
              <w:tab w:pos="2395" w:val="left" w:leader="none"/>
              <w:tab w:pos="7106" w:val="left" w:leader="dot"/>
            </w:tabs>
            <w:spacing w:line="240" w:lineRule="auto" w:before="19" w:after="0"/>
            <w:ind w:left="2394" w:right="0" w:hanging="733"/>
            <w:jc w:val="left"/>
            <w:rPr>
              <w:i/>
            </w:rPr>
          </w:pPr>
          <w:hyperlink w:history="true" w:anchor="_TOC_250008">
            <w:r>
              <w:rPr>
                <w:i/>
              </w:rPr>
              <w:t>LIQUIDACIÓN</w:t>
            </w:r>
            <w:r>
              <w:rPr>
                <w:i/>
                <w:spacing w:val="-2"/>
              </w:rPr>
              <w:t> </w:t>
            </w:r>
            <w:r>
              <w:rPr>
                <w:i/>
              </w:rPr>
              <w:t>Y</w:t>
            </w:r>
            <w:r>
              <w:rPr>
                <w:i/>
                <w:spacing w:val="-2"/>
              </w:rPr>
              <w:t> </w:t>
            </w:r>
            <w:r>
              <w:rPr>
                <w:i/>
              </w:rPr>
              <w:t>GESTIÓN</w:t>
            </w:r>
            <w:r>
              <w:rPr>
                <w:i/>
                <w:spacing w:val="-2"/>
              </w:rPr>
              <w:t> </w:t>
            </w:r>
            <w:r>
              <w:rPr>
                <w:i/>
              </w:rPr>
              <w:t>DE</w:t>
            </w:r>
            <w:r>
              <w:rPr>
                <w:i/>
                <w:spacing w:val="-2"/>
              </w:rPr>
              <w:t> DIVISAS</w:t>
            </w:r>
            <w:r>
              <w:rPr>
                <w:i/>
              </w:rPr>
              <w:tab/>
            </w:r>
            <w:r>
              <w:rPr>
                <w:i/>
                <w:spacing w:val="-5"/>
              </w:rPr>
              <w:t>23</w:t>
            </w:r>
          </w:hyperlink>
        </w:p>
        <w:p>
          <w:pPr>
            <w:pStyle w:val="TOC6"/>
            <w:numPr>
              <w:ilvl w:val="2"/>
              <w:numId w:val="2"/>
            </w:numPr>
            <w:tabs>
              <w:tab w:pos="2394" w:val="left" w:leader="none"/>
              <w:tab w:pos="2395" w:val="left" w:leader="none"/>
            </w:tabs>
            <w:spacing w:line="240" w:lineRule="auto" w:before="21" w:after="0"/>
            <w:ind w:left="2394" w:right="0" w:hanging="733"/>
            <w:jc w:val="left"/>
            <w:rPr>
              <w:i/>
            </w:rPr>
          </w:pPr>
          <w:r>
            <w:rPr>
              <w:i/>
            </w:rPr>
            <w:t>REGISTRO</w:t>
          </w:r>
          <w:r>
            <w:rPr>
              <w:i/>
              <w:spacing w:val="-8"/>
            </w:rPr>
            <w:t> </w:t>
          </w:r>
          <w:r>
            <w:rPr>
              <w:i/>
            </w:rPr>
            <w:t>DE</w:t>
          </w:r>
          <w:r>
            <w:rPr>
              <w:i/>
              <w:spacing w:val="-5"/>
            </w:rPr>
            <w:t> </w:t>
          </w:r>
          <w:r>
            <w:rPr>
              <w:i/>
            </w:rPr>
            <w:t>INTERESES</w:t>
          </w:r>
          <w:r>
            <w:rPr>
              <w:i/>
              <w:spacing w:val="-4"/>
            </w:rPr>
            <w:t> </w:t>
          </w:r>
          <w:r>
            <w:rPr>
              <w:i/>
            </w:rPr>
            <w:t>ACUMULADOS</w:t>
          </w:r>
          <w:r>
            <w:rPr>
              <w:i/>
              <w:spacing w:val="-6"/>
            </w:rPr>
            <w:t> </w:t>
          </w:r>
          <w:r>
            <w:rPr>
              <w:i/>
            </w:rPr>
            <w:t>Y</w:t>
          </w:r>
          <w:r>
            <w:rPr>
              <w:i/>
              <w:spacing w:val="-6"/>
            </w:rPr>
            <w:t> </w:t>
          </w:r>
          <w:r>
            <w:rPr>
              <w:i/>
            </w:rPr>
            <w:t>GANANCIAS</w:t>
          </w:r>
          <w:r>
            <w:rPr>
              <w:i/>
              <w:spacing w:val="-5"/>
            </w:rPr>
            <w:t> </w:t>
          </w:r>
          <w:r>
            <w:rPr>
              <w:i/>
            </w:rPr>
            <w:t>DE</w:t>
          </w:r>
          <w:r>
            <w:rPr>
              <w:i/>
              <w:spacing w:val="-5"/>
            </w:rPr>
            <w:t> </w:t>
          </w:r>
          <w:r>
            <w:rPr>
              <w:i/>
              <w:spacing w:val="-4"/>
            </w:rPr>
            <w:t>TIPO</w:t>
          </w:r>
        </w:p>
        <w:p>
          <w:pPr>
            <w:pStyle w:val="TOC7"/>
            <w:tabs>
              <w:tab w:pos="4583" w:val="left" w:leader="dot"/>
            </w:tabs>
            <w:rPr>
              <w:i/>
            </w:rPr>
          </w:pPr>
          <w:r>
            <w:rPr>
              <w:i/>
            </w:rPr>
            <w:t>DE</w:t>
          </w:r>
          <w:r>
            <w:rPr>
              <w:i/>
              <w:spacing w:val="-2"/>
            </w:rPr>
            <w:t> CAMBIO</w:t>
          </w:r>
          <w:r>
            <w:rPr>
              <w:rFonts w:ascii="Times New Roman"/>
              <w:i w:val="0"/>
            </w:rPr>
            <w:tab/>
          </w:r>
          <w:r>
            <w:rPr>
              <w:i/>
              <w:spacing w:val="-5"/>
            </w:rPr>
            <w:t>23</w:t>
          </w:r>
        </w:p>
        <w:p>
          <w:pPr>
            <w:pStyle w:val="TOC6"/>
            <w:numPr>
              <w:ilvl w:val="2"/>
              <w:numId w:val="2"/>
            </w:numPr>
            <w:tabs>
              <w:tab w:pos="2394" w:val="left" w:leader="none"/>
              <w:tab w:pos="2395" w:val="left" w:leader="none"/>
              <w:tab w:pos="7884" w:val="left" w:leader="dot"/>
            </w:tabs>
            <w:spacing w:line="240" w:lineRule="auto" w:before="19" w:after="0"/>
            <w:ind w:left="2394" w:right="0" w:hanging="733"/>
            <w:jc w:val="left"/>
            <w:rPr>
              <w:i/>
            </w:rPr>
          </w:pPr>
          <w:hyperlink w:history="true" w:anchor="_TOC_250007">
            <w:r>
              <w:rPr>
                <w:i/>
              </w:rPr>
              <w:t>GESTIÓN</w:t>
            </w:r>
            <w:r>
              <w:rPr>
                <w:i/>
                <w:spacing w:val="-4"/>
              </w:rPr>
              <w:t> </w:t>
            </w:r>
            <w:r>
              <w:rPr>
                <w:i/>
              </w:rPr>
              <w:t>DE</w:t>
            </w:r>
            <w:r>
              <w:rPr>
                <w:i/>
                <w:spacing w:val="-3"/>
              </w:rPr>
              <w:t> </w:t>
            </w:r>
            <w:r>
              <w:rPr>
                <w:i/>
                <w:spacing w:val="-2"/>
              </w:rPr>
              <w:t>INVERSIONES</w:t>
            </w:r>
            <w:r>
              <w:rPr>
                <w:i/>
              </w:rPr>
              <w:tab/>
            </w:r>
            <w:r>
              <w:rPr>
                <w:i/>
                <w:spacing w:val="-5"/>
              </w:rPr>
              <w:t>23</w:t>
            </w:r>
          </w:hyperlink>
        </w:p>
        <w:p>
          <w:pPr>
            <w:pStyle w:val="TOC6"/>
            <w:numPr>
              <w:ilvl w:val="2"/>
              <w:numId w:val="2"/>
            </w:numPr>
            <w:tabs>
              <w:tab w:pos="2394" w:val="left" w:leader="none"/>
              <w:tab w:pos="2395" w:val="left" w:leader="none"/>
              <w:tab w:pos="7869" w:val="left" w:leader="dot"/>
            </w:tabs>
            <w:spacing w:line="240" w:lineRule="auto" w:before="21" w:after="0"/>
            <w:ind w:left="2394" w:right="0" w:hanging="733"/>
            <w:jc w:val="left"/>
            <w:rPr>
              <w:i/>
            </w:rPr>
          </w:pPr>
          <w:hyperlink w:history="true" w:anchor="_TOC_250006">
            <w:r>
              <w:rPr>
                <w:i/>
              </w:rPr>
              <w:t>INFORMES</w:t>
            </w:r>
            <w:r>
              <w:rPr>
                <w:i/>
                <w:spacing w:val="-4"/>
              </w:rPr>
              <w:t> </w:t>
            </w:r>
            <w:r>
              <w:rPr>
                <w:i/>
              </w:rPr>
              <w:t>NARRATIVOS</w:t>
            </w:r>
            <w:r>
              <w:rPr>
                <w:i/>
                <w:spacing w:val="-3"/>
              </w:rPr>
              <w:t> </w:t>
            </w:r>
            <w:r>
              <w:rPr>
                <w:i/>
              </w:rPr>
              <w:t>Y</w:t>
            </w:r>
            <w:r>
              <w:rPr>
                <w:i/>
                <w:spacing w:val="-2"/>
              </w:rPr>
              <w:t> FINANCIEROS</w:t>
            </w:r>
            <w:r>
              <w:rPr>
                <w:i/>
              </w:rPr>
              <w:tab/>
            </w:r>
            <w:r>
              <w:rPr>
                <w:i/>
                <w:spacing w:val="-5"/>
              </w:rPr>
              <w:t>24</w:t>
            </w:r>
          </w:hyperlink>
        </w:p>
        <w:p>
          <w:pPr>
            <w:pStyle w:val="TOC2"/>
            <w:numPr>
              <w:ilvl w:val="1"/>
              <w:numId w:val="2"/>
            </w:numPr>
            <w:tabs>
              <w:tab w:pos="1661" w:val="left" w:leader="none"/>
              <w:tab w:pos="1662" w:val="left" w:leader="none"/>
              <w:tab w:pos="7524" w:val="left" w:leader="dot"/>
            </w:tabs>
            <w:spacing w:line="240" w:lineRule="auto" w:before="122" w:after="0"/>
            <w:ind w:left="1662" w:right="0" w:hanging="708"/>
            <w:jc w:val="left"/>
          </w:pPr>
          <w:hyperlink w:history="true" w:anchor="_TOC_250005">
            <w:r>
              <w:rPr/>
              <w:t>GESTIÓN</w:t>
            </w:r>
            <w:r>
              <w:rPr>
                <w:spacing w:val="-7"/>
              </w:rPr>
              <w:t> </w:t>
            </w:r>
            <w:r>
              <w:rPr/>
              <w:t>DE</w:t>
            </w:r>
            <w:r>
              <w:rPr>
                <w:spacing w:val="-7"/>
              </w:rPr>
              <w:t> </w:t>
            </w:r>
            <w:r>
              <w:rPr>
                <w:spacing w:val="-2"/>
              </w:rPr>
              <w:t>FONDOS</w:t>
            </w:r>
            <w:r>
              <w:rPr/>
              <w:tab/>
            </w:r>
            <w:r>
              <w:rPr>
                <w:spacing w:val="-5"/>
              </w:rPr>
              <w:t>24</w:t>
            </w:r>
          </w:hyperlink>
        </w:p>
        <w:p>
          <w:pPr>
            <w:pStyle w:val="TOC6"/>
            <w:numPr>
              <w:ilvl w:val="2"/>
              <w:numId w:val="2"/>
            </w:numPr>
            <w:tabs>
              <w:tab w:pos="2394" w:val="left" w:leader="none"/>
              <w:tab w:pos="2395" w:val="left" w:leader="none"/>
            </w:tabs>
            <w:spacing w:line="240" w:lineRule="auto" w:before="127" w:after="0"/>
            <w:ind w:left="2394" w:right="0" w:hanging="733"/>
            <w:jc w:val="left"/>
            <w:rPr>
              <w:i/>
            </w:rPr>
          </w:pPr>
          <w:hyperlink w:history="true" w:anchor="_TOC_250004">
            <w:r>
              <w:rPr>
                <w:i/>
              </w:rPr>
              <w:t>POLÍTICAS</w:t>
            </w:r>
            <w:r>
              <w:rPr>
                <w:i/>
                <w:spacing w:val="-3"/>
              </w:rPr>
              <w:t> </w:t>
            </w:r>
            <w:r>
              <w:rPr>
                <w:i/>
              </w:rPr>
              <w:t>APLICADAS</w:t>
            </w:r>
            <w:r>
              <w:rPr>
                <w:i/>
                <w:spacing w:val="-1"/>
              </w:rPr>
              <w:t> </w:t>
            </w:r>
            <w:r>
              <w:rPr>
                <w:i/>
              </w:rPr>
              <w:t>A</w:t>
            </w:r>
            <w:r>
              <w:rPr>
                <w:i/>
                <w:spacing w:val="-1"/>
              </w:rPr>
              <w:t> </w:t>
            </w:r>
            <w:r>
              <w:rPr>
                <w:i/>
              </w:rPr>
              <w:t>LA</w:t>
            </w:r>
            <w:r>
              <w:rPr>
                <w:i/>
                <w:spacing w:val="-3"/>
              </w:rPr>
              <w:t> </w:t>
            </w:r>
            <w:r>
              <w:rPr>
                <w:i/>
                <w:spacing w:val="-2"/>
              </w:rPr>
              <w:t>CONTABILIDAD.........................................</w:t>
            </w:r>
          </w:hyperlink>
        </w:p>
        <w:p>
          <w:pPr>
            <w:pStyle w:val="TOC7"/>
            <w:spacing w:before="17"/>
            <w:rPr>
              <w:i/>
            </w:rPr>
          </w:pPr>
          <w:r>
            <w:rPr>
              <w:i/>
              <w:spacing w:val="-5"/>
            </w:rPr>
            <w:t>24</w:t>
          </w:r>
        </w:p>
        <w:p>
          <w:pPr>
            <w:pStyle w:val="TOC6"/>
            <w:numPr>
              <w:ilvl w:val="2"/>
              <w:numId w:val="2"/>
            </w:numPr>
            <w:tabs>
              <w:tab w:pos="2394" w:val="left" w:leader="none"/>
              <w:tab w:pos="2395" w:val="left" w:leader="none"/>
              <w:tab w:pos="7109" w:val="left" w:leader="dot"/>
            </w:tabs>
            <w:spacing w:line="259" w:lineRule="auto" w:before="19" w:after="0"/>
            <w:ind w:left="2394" w:right="1407" w:hanging="733"/>
            <w:jc w:val="left"/>
          </w:pPr>
          <w:r>
            <w:rPr>
              <w:i/>
            </w:rPr>
            <w:t>REVISIONES</w:t>
          </w:r>
          <w:r>
            <w:rPr>
              <w:i/>
              <w:spacing w:val="-5"/>
            </w:rPr>
            <w:t> </w:t>
          </w:r>
          <w:r>
            <w:rPr>
              <w:i/>
            </w:rPr>
            <w:t>DE</w:t>
          </w:r>
          <w:r>
            <w:rPr>
              <w:i/>
              <w:spacing w:val="-6"/>
            </w:rPr>
            <w:t> </w:t>
          </w:r>
          <w:r>
            <w:rPr>
              <w:i/>
            </w:rPr>
            <w:t>PRESUPUESTOS</w:t>
          </w:r>
          <w:r>
            <w:rPr>
              <w:i/>
              <w:spacing w:val="-6"/>
            </w:rPr>
            <w:t> </w:t>
          </w:r>
          <w:r>
            <w:rPr>
              <w:i/>
            </w:rPr>
            <w:t>DURANTE</w:t>
          </w:r>
          <w:r>
            <w:rPr>
              <w:i/>
              <w:spacing w:val="-5"/>
            </w:rPr>
            <w:t> </w:t>
          </w:r>
          <w:r>
            <w:rPr>
              <w:i/>
            </w:rPr>
            <w:t>EL</w:t>
          </w:r>
          <w:r>
            <w:rPr>
              <w:i/>
              <w:spacing w:val="-5"/>
            </w:rPr>
            <w:t> </w:t>
          </w:r>
          <w:r>
            <w:rPr>
              <w:i/>
            </w:rPr>
            <w:t>PERÍODO</w:t>
          </w:r>
          <w:r>
            <w:rPr>
              <w:i/>
              <w:spacing w:val="-6"/>
            </w:rPr>
            <w:t> </w:t>
          </w:r>
          <w:r>
            <w:rPr>
              <w:i/>
            </w:rPr>
            <w:t>DEL</w:t>
          </w:r>
          <w:r>
            <w:rPr/>
            <w:t> ENCARGO DE LA ASOCIACIÓN</w:t>
            <w:tab/>
          </w:r>
          <w:r>
            <w:rPr>
              <w:spacing w:val="-6"/>
            </w:rPr>
            <w:t>25</w:t>
          </w:r>
        </w:p>
        <w:p>
          <w:pPr>
            <w:pStyle w:val="TOC6"/>
            <w:numPr>
              <w:ilvl w:val="2"/>
              <w:numId w:val="2"/>
            </w:numPr>
            <w:tabs>
              <w:tab w:pos="2394" w:val="left" w:leader="none"/>
              <w:tab w:pos="2395" w:val="left" w:leader="none"/>
              <w:tab w:pos="7846" w:val="left" w:leader="dot"/>
            </w:tabs>
            <w:spacing w:line="240" w:lineRule="auto" w:before="4" w:after="0"/>
            <w:ind w:left="2394" w:right="0" w:hanging="733"/>
            <w:jc w:val="left"/>
            <w:rPr>
              <w:i/>
            </w:rPr>
          </w:pPr>
          <w:hyperlink w:history="true" w:anchor="_TOC_250003">
            <w:r>
              <w:rPr>
                <w:i/>
              </w:rPr>
              <w:t>REQUISITOS</w:t>
            </w:r>
            <w:r>
              <w:rPr>
                <w:i/>
                <w:spacing w:val="-4"/>
              </w:rPr>
              <w:t> </w:t>
            </w:r>
            <w:r>
              <w:rPr>
                <w:i/>
              </w:rPr>
              <w:t>PARA</w:t>
            </w:r>
            <w:r>
              <w:rPr>
                <w:i/>
                <w:spacing w:val="-1"/>
              </w:rPr>
              <w:t> </w:t>
            </w:r>
            <w:r>
              <w:rPr>
                <w:i/>
              </w:rPr>
              <w:t>LAS</w:t>
            </w:r>
            <w:r>
              <w:rPr>
                <w:i/>
                <w:spacing w:val="-1"/>
              </w:rPr>
              <w:t> </w:t>
            </w:r>
            <w:r>
              <w:rPr>
                <w:i/>
                <w:spacing w:val="-2"/>
              </w:rPr>
              <w:t>CUENTAS</w:t>
            </w:r>
            <w:r>
              <w:rPr>
                <w:i/>
              </w:rPr>
              <w:tab/>
            </w:r>
            <w:r>
              <w:rPr>
                <w:i/>
                <w:spacing w:val="-5"/>
              </w:rPr>
              <w:t>25</w:t>
            </w:r>
          </w:hyperlink>
        </w:p>
        <w:p>
          <w:pPr>
            <w:pStyle w:val="TOC6"/>
            <w:numPr>
              <w:ilvl w:val="2"/>
              <w:numId w:val="2"/>
            </w:numPr>
            <w:tabs>
              <w:tab w:pos="2394" w:val="left" w:leader="none"/>
              <w:tab w:pos="2395" w:val="left" w:leader="none"/>
            </w:tabs>
            <w:spacing w:line="240" w:lineRule="auto" w:before="18" w:after="0"/>
            <w:ind w:left="2394" w:right="0" w:hanging="733"/>
            <w:jc w:val="left"/>
            <w:rPr>
              <w:i/>
            </w:rPr>
          </w:pPr>
          <w:hyperlink w:history="true" w:anchor="_TOC_250002">
            <w:r>
              <w:rPr>
                <w:i/>
              </w:rPr>
              <w:t>REQUISITOS</w:t>
            </w:r>
            <w:r>
              <w:rPr>
                <w:i/>
                <w:spacing w:val="-4"/>
              </w:rPr>
              <w:t> </w:t>
            </w:r>
            <w:r>
              <w:rPr>
                <w:i/>
              </w:rPr>
              <w:t>PARA</w:t>
            </w:r>
            <w:r>
              <w:rPr>
                <w:i/>
                <w:spacing w:val="-1"/>
              </w:rPr>
              <w:t> </w:t>
            </w:r>
            <w:r>
              <w:rPr>
                <w:i/>
              </w:rPr>
              <w:t>LA</w:t>
            </w:r>
            <w:r>
              <w:rPr>
                <w:i/>
                <w:spacing w:val="-1"/>
              </w:rPr>
              <w:t> </w:t>
            </w:r>
            <w:r>
              <w:rPr>
                <w:i/>
              </w:rPr>
              <w:t>AUDITORÍA </w:t>
            </w:r>
            <w:r>
              <w:rPr>
                <w:i/>
                <w:spacing w:val="-2"/>
              </w:rPr>
              <w:t>..........................................................</w:t>
            </w:r>
          </w:hyperlink>
        </w:p>
        <w:p>
          <w:pPr>
            <w:pStyle w:val="TOC7"/>
            <w:spacing w:before="19"/>
            <w:rPr>
              <w:i/>
            </w:rPr>
          </w:pPr>
          <w:r>
            <w:rPr>
              <w:i/>
              <w:spacing w:val="-5"/>
            </w:rPr>
            <w:t>25</w:t>
          </w:r>
        </w:p>
        <w:p>
          <w:pPr>
            <w:pStyle w:val="TOC2"/>
            <w:numPr>
              <w:ilvl w:val="1"/>
              <w:numId w:val="2"/>
            </w:numPr>
            <w:tabs>
              <w:tab w:pos="1661" w:val="left" w:leader="none"/>
              <w:tab w:pos="1662" w:val="left" w:leader="none"/>
              <w:tab w:pos="8038" w:val="left" w:leader="dot"/>
            </w:tabs>
            <w:spacing w:line="240" w:lineRule="auto" w:before="122" w:after="0"/>
            <w:ind w:left="1662" w:right="0" w:hanging="708"/>
            <w:jc w:val="left"/>
          </w:pPr>
          <w:hyperlink w:history="true" w:anchor="_TOC_250001">
            <w:r>
              <w:rPr/>
              <w:t>NOTIFICAR</w:t>
            </w:r>
            <w:r>
              <w:rPr>
                <w:spacing w:val="-10"/>
              </w:rPr>
              <w:t> </w:t>
            </w:r>
            <w:r>
              <w:rPr>
                <w:spacing w:val="-2"/>
              </w:rPr>
              <w:t>IRREGULARIDADES</w:t>
            </w:r>
            <w:r>
              <w:rPr/>
              <w:tab/>
            </w:r>
            <w:r>
              <w:rPr>
                <w:spacing w:val="-5"/>
              </w:rPr>
              <w:t>26</w:t>
            </w:r>
          </w:hyperlink>
        </w:p>
        <w:p>
          <w:pPr>
            <w:pStyle w:val="TOC2"/>
            <w:numPr>
              <w:ilvl w:val="1"/>
              <w:numId w:val="2"/>
            </w:numPr>
            <w:tabs>
              <w:tab w:pos="1661" w:val="left" w:leader="none"/>
              <w:tab w:pos="1662" w:val="left" w:leader="none"/>
              <w:tab w:pos="7816" w:val="left" w:leader="dot"/>
            </w:tabs>
            <w:spacing w:line="240" w:lineRule="auto" w:before="133" w:after="0"/>
            <w:ind w:left="1662" w:right="0" w:hanging="708"/>
            <w:jc w:val="left"/>
          </w:pPr>
          <w:r>
            <w:rPr/>
            <w:t>FINALIZACIÓN</w:t>
          </w:r>
          <w:r>
            <w:rPr>
              <w:spacing w:val="-8"/>
            </w:rPr>
            <w:t> </w:t>
          </w:r>
          <w:r>
            <w:rPr/>
            <w:t>DEL</w:t>
          </w:r>
          <w:r>
            <w:rPr>
              <w:spacing w:val="-7"/>
            </w:rPr>
            <w:t> </w:t>
          </w:r>
          <w:r>
            <w:rPr>
              <w:spacing w:val="-2"/>
            </w:rPr>
            <w:t>COLABORACIÓN</w:t>
          </w:r>
          <w:r>
            <w:rPr/>
            <w:tab/>
          </w:r>
          <w:r>
            <w:rPr>
              <w:spacing w:val="-5"/>
            </w:rPr>
            <w:t>27</w:t>
          </w:r>
        </w:p>
        <w:p>
          <w:pPr>
            <w:pStyle w:val="TOC2"/>
            <w:numPr>
              <w:ilvl w:val="0"/>
              <w:numId w:val="2"/>
            </w:numPr>
            <w:tabs>
              <w:tab w:pos="1175" w:val="left" w:leader="none"/>
              <w:tab w:pos="7660" w:val="left" w:leader="dot"/>
            </w:tabs>
            <w:spacing w:line="240" w:lineRule="auto" w:before="127" w:after="0"/>
            <w:ind w:left="1174" w:right="0" w:hanging="221"/>
            <w:jc w:val="left"/>
          </w:pPr>
          <w:hyperlink w:history="true" w:anchor="_TOC_250000">
            <w:r>
              <w:rPr/>
              <w:t>ANEXOS</w:t>
            </w:r>
            <w:r>
              <w:rPr>
                <w:spacing w:val="-5"/>
              </w:rPr>
              <w:t> </w:t>
            </w:r>
            <w:r>
              <w:rPr/>
              <w:t>Y</w:t>
            </w:r>
            <w:r>
              <w:rPr>
                <w:spacing w:val="-7"/>
              </w:rPr>
              <w:t> </w:t>
            </w:r>
            <w:r>
              <w:rPr>
                <w:spacing w:val="-2"/>
              </w:rPr>
              <w:t>FORMATOS</w:t>
            </w:r>
            <w:r>
              <w:rPr/>
              <w:tab/>
            </w:r>
            <w:r>
              <w:rPr>
                <w:spacing w:val="-5"/>
              </w:rPr>
              <w:t>28</w:t>
            </w:r>
          </w:hyperlink>
        </w:p>
        <w:p>
          <w:pPr>
            <w:pStyle w:val="TOC3"/>
            <w:tabs>
              <w:tab w:pos="1690" w:val="left" w:leader="none"/>
              <w:tab w:pos="7845" w:val="left" w:leader="dot"/>
            </w:tabs>
            <w:spacing w:before="31"/>
          </w:pPr>
          <w:r>
            <w:rPr>
              <w:spacing w:val="-5"/>
            </w:rPr>
            <w:t>A1</w:t>
          </w:r>
          <w:r>
            <w:rPr/>
            <w:tab/>
            <w:t>ACUERDO</w:t>
          </w:r>
          <w:r>
            <w:rPr>
              <w:spacing w:val="-5"/>
            </w:rPr>
            <w:t> </w:t>
          </w:r>
          <w:r>
            <w:rPr/>
            <w:t>ENTRE</w:t>
          </w:r>
          <w:r>
            <w:rPr>
              <w:spacing w:val="-3"/>
            </w:rPr>
            <w:t> </w:t>
          </w:r>
          <w:r>
            <w:rPr/>
            <w:t>SOCIO</w:t>
          </w:r>
          <w:r>
            <w:rPr>
              <w:spacing w:val="-4"/>
            </w:rPr>
            <w:t> </w:t>
          </w:r>
          <w:r>
            <w:rPr/>
            <w:t>DEL</w:t>
          </w:r>
          <w:r>
            <w:rPr>
              <w:spacing w:val="-3"/>
            </w:rPr>
            <w:t> </w:t>
          </w:r>
          <w:r>
            <w:rPr/>
            <w:t>ENCARGO</w:t>
          </w:r>
          <w:r>
            <w:rPr>
              <w:spacing w:val="-4"/>
            </w:rPr>
            <w:t> </w:t>
          </w:r>
          <w:r>
            <w:rPr/>
            <w:t>Y</w:t>
          </w:r>
          <w:r>
            <w:rPr>
              <w:spacing w:val="-3"/>
            </w:rPr>
            <w:t> </w:t>
          </w:r>
          <w:r>
            <w:rPr>
              <w:spacing w:val="-2"/>
            </w:rPr>
            <w:t>SOCIO</w:t>
          </w:r>
          <w:r>
            <w:rPr/>
            <w:tab/>
          </w:r>
          <w:r>
            <w:rPr>
              <w:spacing w:val="-5"/>
            </w:rPr>
            <w:t>28</w:t>
          </w:r>
        </w:p>
        <w:p>
          <w:pPr>
            <w:pStyle w:val="TOC3"/>
          </w:pPr>
          <w:r>
            <w:rPr/>
            <w:t>A2</w:t>
          </w:r>
          <w:r>
            <w:rPr>
              <w:spacing w:val="-1"/>
            </w:rPr>
            <w:t> </w:t>
          </w:r>
          <w:r>
            <w:rPr/>
            <w:t>ACUERDO</w:t>
          </w:r>
          <w:r>
            <w:rPr>
              <w:spacing w:val="32"/>
            </w:rPr>
            <w:t>  </w:t>
          </w:r>
          <w:r>
            <w:rPr/>
            <w:t>FINANCIERO</w:t>
          </w:r>
          <w:r>
            <w:rPr>
              <w:spacing w:val="32"/>
            </w:rPr>
            <w:t>  </w:t>
          </w:r>
          <w:r>
            <w:rPr/>
            <w:t>ENTRE</w:t>
          </w:r>
          <w:r>
            <w:rPr>
              <w:spacing w:val="32"/>
            </w:rPr>
            <w:t>  </w:t>
          </w:r>
          <w:r>
            <w:rPr/>
            <w:t>EL</w:t>
          </w:r>
          <w:r>
            <w:rPr>
              <w:spacing w:val="32"/>
            </w:rPr>
            <w:t>  </w:t>
          </w:r>
          <w:r>
            <w:rPr/>
            <w:t>SOCIO</w:t>
          </w:r>
          <w:r>
            <w:rPr>
              <w:spacing w:val="32"/>
            </w:rPr>
            <w:t>  </w:t>
          </w:r>
          <w:r>
            <w:rPr/>
            <w:t>DEL</w:t>
          </w:r>
          <w:r>
            <w:rPr>
              <w:spacing w:val="31"/>
            </w:rPr>
            <w:t>  </w:t>
          </w:r>
          <w:r>
            <w:rPr/>
            <w:t>ENCARGO</w:t>
          </w:r>
          <w:r>
            <w:rPr>
              <w:spacing w:val="31"/>
            </w:rPr>
            <w:t>  </w:t>
          </w:r>
          <w:r>
            <w:rPr/>
            <w:t>Y</w:t>
          </w:r>
          <w:r>
            <w:rPr>
              <w:spacing w:val="32"/>
            </w:rPr>
            <w:t>  </w:t>
          </w:r>
          <w:r>
            <w:rPr/>
            <w:t>EL</w:t>
          </w:r>
          <w:r>
            <w:rPr>
              <w:spacing w:val="32"/>
            </w:rPr>
            <w:t>  </w:t>
          </w:r>
          <w:r>
            <w:rPr>
              <w:spacing w:val="-2"/>
            </w:rPr>
            <w:t>SOCIO</w:t>
          </w:r>
        </w:p>
        <w:p>
          <w:pPr>
            <w:pStyle w:val="TOC1"/>
            <w:tabs>
              <w:tab w:pos="2467" w:val="left" w:leader="dot"/>
            </w:tabs>
            <w:spacing w:before="19"/>
          </w:pPr>
          <w:r>
            <w:rPr>
              <w:spacing w:val="-10"/>
            </w:rPr>
            <w:t>.</w:t>
          </w:r>
          <w:r>
            <w:rPr/>
            <w:tab/>
          </w:r>
          <w:r>
            <w:rPr>
              <w:spacing w:val="-5"/>
            </w:rPr>
            <w:t>28</w:t>
          </w:r>
        </w:p>
        <w:p>
          <w:pPr>
            <w:pStyle w:val="TOC3"/>
          </w:pPr>
          <w:r>
            <w:rPr/>
            <w:t>A3DOCUMENTO</w:t>
          </w:r>
          <w:r>
            <w:rPr>
              <w:spacing w:val="-6"/>
            </w:rPr>
            <w:t> </w:t>
          </w:r>
          <w:r>
            <w:rPr/>
            <w:t>DE</w:t>
          </w:r>
          <w:r>
            <w:rPr>
              <w:spacing w:val="-5"/>
            </w:rPr>
            <w:t> </w:t>
          </w:r>
          <w:r>
            <w:rPr/>
            <w:t>TRANSFERENCIAS</w:t>
          </w:r>
          <w:r>
            <w:rPr>
              <w:spacing w:val="-5"/>
            </w:rPr>
            <w:t> </w:t>
          </w:r>
          <w:r>
            <w:rPr/>
            <w:t>ENTRE</w:t>
          </w:r>
          <w:r>
            <w:rPr>
              <w:spacing w:val="-4"/>
            </w:rPr>
            <w:t> </w:t>
          </w:r>
          <w:r>
            <w:rPr/>
            <w:t>EL</w:t>
          </w:r>
          <w:r>
            <w:rPr>
              <w:spacing w:val="-5"/>
            </w:rPr>
            <w:t> </w:t>
          </w:r>
          <w:r>
            <w:rPr/>
            <w:t>SOCIO</w:t>
          </w:r>
          <w:r>
            <w:rPr>
              <w:spacing w:val="-7"/>
            </w:rPr>
            <w:t> </w:t>
          </w:r>
          <w:r>
            <w:rPr/>
            <w:t>DEL</w:t>
          </w:r>
          <w:r>
            <w:rPr>
              <w:spacing w:val="-5"/>
            </w:rPr>
            <w:t> </w:t>
          </w:r>
          <w:r>
            <w:rPr/>
            <w:t>ENCARGO</w:t>
          </w:r>
          <w:r>
            <w:rPr>
              <w:spacing w:val="-6"/>
            </w:rPr>
            <w:t> </w:t>
          </w:r>
          <w:r>
            <w:rPr/>
            <w:t>Y</w:t>
          </w:r>
          <w:r>
            <w:rPr>
              <w:spacing w:val="-4"/>
            </w:rPr>
            <w:t> </w:t>
          </w:r>
          <w:r>
            <w:rPr/>
            <w:t>EL</w:t>
          </w:r>
          <w:r>
            <w:rPr>
              <w:spacing w:val="-5"/>
            </w:rPr>
            <w:t> </w:t>
          </w:r>
          <w:r>
            <w:rPr>
              <w:spacing w:val="-2"/>
            </w:rPr>
            <w:t>SOCIO</w:t>
          </w:r>
        </w:p>
        <w:p>
          <w:pPr>
            <w:pStyle w:val="TOC1"/>
            <w:tabs>
              <w:tab w:pos="2368" w:val="left" w:leader="dot"/>
            </w:tabs>
          </w:pPr>
          <w:r>
            <w:rPr>
              <w:spacing w:val="-10"/>
            </w:rPr>
            <w:t>.</w:t>
          </w:r>
          <w:r>
            <w:rPr/>
            <w:tab/>
          </w:r>
          <w:r>
            <w:rPr>
              <w:spacing w:val="-5"/>
            </w:rPr>
            <w:t>28</w:t>
          </w:r>
        </w:p>
        <w:p>
          <w:pPr>
            <w:pStyle w:val="TOC3"/>
            <w:tabs>
              <w:tab w:pos="3656" w:val="left" w:leader="none"/>
              <w:tab w:pos="4833" w:val="left" w:leader="none"/>
              <w:tab w:pos="6740" w:val="left" w:leader="none"/>
              <w:tab w:pos="7916" w:val="left" w:leader="none"/>
            </w:tabs>
          </w:pPr>
          <w:r>
            <w:rPr/>
            <w:t>A4</w:t>
          </w:r>
          <w:r>
            <w:rPr>
              <w:spacing w:val="-2"/>
            </w:rPr>
            <w:t> INSTRUCCIONES</w:t>
          </w:r>
          <w:r>
            <w:rPr/>
            <w:tab/>
          </w:r>
          <w:r>
            <w:rPr>
              <w:spacing w:val="-5"/>
            </w:rPr>
            <w:t>DE</w:t>
          </w:r>
          <w:r>
            <w:rPr/>
            <w:tab/>
          </w:r>
          <w:r>
            <w:rPr>
              <w:spacing w:val="-2"/>
            </w:rPr>
            <w:t>AUDITORÍA</w:t>
          </w:r>
          <w:r>
            <w:rPr/>
            <w:tab/>
          </w:r>
          <w:r>
            <w:rPr>
              <w:spacing w:val="-5"/>
            </w:rPr>
            <w:t>DE</w:t>
          </w:r>
          <w:r>
            <w:rPr/>
            <w:tab/>
          </w:r>
          <w:r>
            <w:rPr>
              <w:spacing w:val="-4"/>
            </w:rPr>
            <w:t>DIPD</w:t>
          </w:r>
        </w:p>
        <w:p>
          <w:pPr>
            <w:pStyle w:val="TOC1"/>
            <w:tabs>
              <w:tab w:pos="3968" w:val="left" w:leader="dot"/>
            </w:tabs>
          </w:pPr>
          <w:r>
            <w:rPr>
              <w:spacing w:val="-10"/>
            </w:rPr>
            <w:t>.</w:t>
          </w:r>
          <w:r>
            <w:rPr/>
            <w:tab/>
          </w:r>
          <w:r>
            <w:rPr>
              <w:spacing w:val="-5"/>
            </w:rPr>
            <w:t>28</w:t>
          </w:r>
        </w:p>
        <w:p>
          <w:pPr>
            <w:pStyle w:val="TOC3"/>
            <w:tabs>
              <w:tab w:pos="1592" w:val="left" w:leader="none"/>
              <w:tab w:pos="7948" w:val="left" w:leader="dot"/>
            </w:tabs>
          </w:pPr>
          <w:r>
            <w:rPr>
              <w:spacing w:val="-5"/>
            </w:rPr>
            <w:t>A5</w:t>
          </w:r>
          <w:r>
            <w:rPr/>
            <w:tab/>
            <w:t>CHECK</w:t>
          </w:r>
          <w:r>
            <w:rPr>
              <w:spacing w:val="-3"/>
            </w:rPr>
            <w:t> </w:t>
          </w:r>
          <w:r>
            <w:rPr/>
            <w:t>LIST</w:t>
          </w:r>
          <w:r>
            <w:rPr>
              <w:spacing w:val="-2"/>
            </w:rPr>
            <w:t> </w:t>
          </w:r>
          <w:r>
            <w:rPr/>
            <w:t>PARA</w:t>
          </w:r>
          <w:r>
            <w:rPr>
              <w:spacing w:val="-4"/>
            </w:rPr>
            <w:t> </w:t>
          </w:r>
          <w:r>
            <w:rPr/>
            <w:t>LA</w:t>
          </w:r>
          <w:r>
            <w:rPr>
              <w:spacing w:val="-2"/>
            </w:rPr>
            <w:t> </w:t>
          </w:r>
          <w:r>
            <w:rPr/>
            <w:t>SECCIÓN</w:t>
          </w:r>
          <w:r>
            <w:rPr>
              <w:spacing w:val="-3"/>
            </w:rPr>
            <w:t> </w:t>
          </w:r>
          <w:r>
            <w:rPr/>
            <w:t>DE</w:t>
          </w:r>
          <w:r>
            <w:rPr>
              <w:spacing w:val="-2"/>
            </w:rPr>
            <w:t> CUENTAS</w:t>
          </w:r>
          <w:r>
            <w:rPr/>
            <w:tab/>
          </w:r>
          <w:r>
            <w:rPr>
              <w:spacing w:val="-5"/>
            </w:rPr>
            <w:t>28</w:t>
          </w:r>
        </w:p>
        <w:p>
          <w:pPr>
            <w:pStyle w:val="TOC3"/>
          </w:pPr>
          <w:r>
            <w:rPr/>
            <w:t>A6</w:t>
          </w:r>
          <w:r>
            <w:rPr>
              <w:spacing w:val="-1"/>
            </w:rPr>
            <w:t> </w:t>
          </w:r>
          <w:r>
            <w:rPr/>
            <w:t>FORMATO</w:t>
          </w:r>
          <w:r>
            <w:rPr>
              <w:spacing w:val="48"/>
            </w:rPr>
            <w:t> </w:t>
          </w:r>
          <w:r>
            <w:rPr/>
            <w:t>DE</w:t>
          </w:r>
          <w:r>
            <w:rPr>
              <w:spacing w:val="48"/>
            </w:rPr>
            <w:t> </w:t>
          </w:r>
          <w:r>
            <w:rPr/>
            <w:t>PRESUPUESTOS</w:t>
          </w:r>
          <w:r>
            <w:rPr>
              <w:spacing w:val="48"/>
            </w:rPr>
            <w:t> </w:t>
          </w:r>
          <w:r>
            <w:rPr/>
            <w:t>PARA</w:t>
          </w:r>
          <w:r>
            <w:rPr>
              <w:spacing w:val="48"/>
            </w:rPr>
            <w:t> </w:t>
          </w:r>
          <w:r>
            <w:rPr/>
            <w:t>EL</w:t>
          </w:r>
          <w:r>
            <w:rPr>
              <w:spacing w:val="49"/>
            </w:rPr>
            <w:t> </w:t>
          </w:r>
          <w:r>
            <w:rPr/>
            <w:t>SOCIO</w:t>
          </w:r>
          <w:r>
            <w:rPr>
              <w:spacing w:val="47"/>
            </w:rPr>
            <w:t> </w:t>
          </w:r>
          <w:r>
            <w:rPr/>
            <w:t>DEL</w:t>
          </w:r>
          <w:r>
            <w:rPr>
              <w:spacing w:val="48"/>
            </w:rPr>
            <w:t> </w:t>
          </w:r>
          <w:r>
            <w:rPr/>
            <w:t>ENCARGO</w:t>
          </w:r>
          <w:r>
            <w:rPr>
              <w:spacing w:val="46"/>
            </w:rPr>
            <w:t> </w:t>
          </w:r>
          <w:r>
            <w:rPr/>
            <w:t>Y</w:t>
          </w:r>
          <w:r>
            <w:rPr>
              <w:spacing w:val="48"/>
            </w:rPr>
            <w:t> </w:t>
          </w:r>
          <w:r>
            <w:rPr/>
            <w:t>EL</w:t>
          </w:r>
          <w:r>
            <w:rPr>
              <w:spacing w:val="49"/>
            </w:rPr>
            <w:t> </w:t>
          </w:r>
          <w:r>
            <w:rPr>
              <w:spacing w:val="-2"/>
            </w:rPr>
            <w:t>SOCIO</w:t>
          </w:r>
        </w:p>
        <w:p>
          <w:pPr>
            <w:pStyle w:val="TOC1"/>
            <w:tabs>
              <w:tab w:pos="1419" w:val="left" w:leader="dot"/>
            </w:tabs>
          </w:pPr>
          <w:r>
            <w:rPr>
              <w:spacing w:val="-10"/>
            </w:rPr>
            <w:t>.</w:t>
          </w:r>
          <w:r>
            <w:rPr/>
            <w:tab/>
          </w:r>
          <w:r>
            <w:rPr>
              <w:spacing w:val="-5"/>
            </w:rPr>
            <w:t>28</w:t>
          </w:r>
        </w:p>
        <w:p>
          <w:pPr>
            <w:pStyle w:val="TOC3"/>
            <w:tabs>
              <w:tab w:pos="8145" w:val="left" w:leader="dot"/>
            </w:tabs>
            <w:spacing w:before="177"/>
          </w:pPr>
          <w:r>
            <w:rPr/>
            <w:t>A7</w:t>
          </w:r>
          <w:r>
            <w:rPr>
              <w:spacing w:val="-4"/>
            </w:rPr>
            <w:t> </w:t>
          </w:r>
          <w:r>
            <w:rPr/>
            <w:t>PLANTILLA</w:t>
          </w:r>
          <w:r>
            <w:rPr>
              <w:spacing w:val="-9"/>
            </w:rPr>
            <w:t> </w:t>
          </w:r>
          <w:r>
            <w:rPr/>
            <w:t>DE</w:t>
          </w:r>
          <w:r>
            <w:rPr>
              <w:spacing w:val="-10"/>
            </w:rPr>
            <w:t> </w:t>
          </w:r>
          <w:r>
            <w:rPr/>
            <w:t>CUENTAS</w:t>
          </w:r>
          <w:r>
            <w:rPr>
              <w:spacing w:val="-8"/>
            </w:rPr>
            <w:t> </w:t>
          </w:r>
          <w:r>
            <w:rPr/>
            <w:t>DE</w:t>
          </w:r>
          <w:r>
            <w:rPr>
              <w:spacing w:val="-12"/>
            </w:rPr>
            <w:t> </w:t>
          </w:r>
          <w:r>
            <w:rPr/>
            <w:t>DIPD</w:t>
          </w:r>
          <w:r>
            <w:rPr>
              <w:spacing w:val="-10"/>
            </w:rPr>
            <w:t> </w:t>
          </w:r>
          <w:r>
            <w:rPr/>
            <w:t>–</w:t>
          </w:r>
          <w:r>
            <w:rPr>
              <w:spacing w:val="-8"/>
            </w:rPr>
            <w:t> </w:t>
          </w:r>
          <w:r>
            <w:rPr>
              <w:spacing w:val="-2"/>
            </w:rPr>
            <w:t>DANÉS</w:t>
          </w:r>
          <w:r>
            <w:rPr/>
            <w:tab/>
          </w:r>
          <w:r>
            <w:rPr>
              <w:spacing w:val="-5"/>
            </w:rPr>
            <w:t>29</w:t>
          </w:r>
        </w:p>
        <w:p>
          <w:pPr>
            <w:pStyle w:val="TOC3"/>
            <w:tabs>
              <w:tab w:pos="8139" w:val="left" w:leader="dot"/>
            </w:tabs>
            <w:spacing w:before="177"/>
          </w:pPr>
          <w:r>
            <w:rPr/>
            <w:t>A8</w:t>
          </w:r>
          <w:r>
            <w:rPr>
              <w:spacing w:val="58"/>
              <w:w w:val="150"/>
            </w:rPr>
            <w:t> </w:t>
          </w:r>
          <w:r>
            <w:rPr/>
            <w:t>PLANTILLA</w:t>
          </w:r>
          <w:r>
            <w:rPr>
              <w:spacing w:val="-2"/>
            </w:rPr>
            <w:t> </w:t>
          </w:r>
          <w:r>
            <w:rPr/>
            <w:t>DE</w:t>
          </w:r>
          <w:r>
            <w:rPr>
              <w:spacing w:val="-2"/>
            </w:rPr>
            <w:t> </w:t>
          </w:r>
          <w:r>
            <w:rPr/>
            <w:t>CUENTAS</w:t>
          </w:r>
          <w:r>
            <w:rPr>
              <w:spacing w:val="-1"/>
            </w:rPr>
            <w:t> </w:t>
          </w:r>
          <w:r>
            <w:rPr/>
            <w:t>DE</w:t>
          </w:r>
          <w:r>
            <w:rPr>
              <w:spacing w:val="-2"/>
            </w:rPr>
            <w:t> </w:t>
          </w:r>
          <w:r>
            <w:rPr/>
            <w:t>DIPD</w:t>
          </w:r>
          <w:r>
            <w:rPr>
              <w:spacing w:val="-2"/>
            </w:rPr>
            <w:t> </w:t>
          </w:r>
          <w:r>
            <w:rPr/>
            <w:t>-</w:t>
          </w:r>
          <w:r>
            <w:rPr>
              <w:spacing w:val="-2"/>
            </w:rPr>
            <w:t> INGLÉS</w:t>
          </w:r>
          <w:r>
            <w:rPr/>
            <w:tab/>
          </w:r>
          <w:r>
            <w:rPr>
              <w:spacing w:val="-5"/>
            </w:rPr>
            <w:t>29</w:t>
          </w:r>
        </w:p>
      </w:sdtContent>
    </w:sdt>
    <w:p>
      <w:pPr>
        <w:spacing w:after="0"/>
        <w:sectPr>
          <w:type w:val="continuous"/>
          <w:pgSz w:w="11910" w:h="16850"/>
          <w:pgMar w:header="718" w:footer="843" w:top="966" w:bottom="1068" w:left="1300" w:right="1400"/>
        </w:sectPr>
      </w:pPr>
    </w:p>
    <w:p>
      <w:pPr>
        <w:pStyle w:val="Heading1"/>
        <w:spacing w:before="796"/>
        <w:ind w:left="954" w:firstLine="0"/>
      </w:pPr>
      <w:r>
        <w:rPr/>
        <w:pict>
          <v:line style="position:absolute;mso-position-horizontal-relative:page;mso-position-vertical-relative:page;z-index:15735296" from="111.949997pt,788.599976pt" to="249.499997pt,788.599976pt" stroked="true" strokeweight=".96pt" strokecolor="#000000">
            <v:stroke dashstyle="shortdot"/>
            <w10:wrap type="none"/>
          </v:line>
        </w:pict>
      </w:r>
      <w:r>
        <w:rPr>
          <w:color w:val="808080"/>
          <w:spacing w:val="-2"/>
        </w:rPr>
        <w:t>INTRODUCCIÓN</w:t>
      </w:r>
    </w:p>
    <w:p>
      <w:pPr>
        <w:pStyle w:val="BodyText"/>
        <w:spacing w:before="7"/>
        <w:rPr>
          <w:sz w:val="3"/>
        </w:rPr>
      </w:pPr>
      <w:r>
        <w:rPr/>
        <w:pict>
          <v:shape style="position:absolute;margin-left:111.980003pt;margin-top:3.303482pt;width:130.5pt;height:13.7pt;mso-position-horizontal-relative:page;mso-position-vertical-relative:paragraph;z-index:-15722496;mso-wrap-distance-left:0;mso-wrap-distance-right:0" id="docshape19" coordorigin="2240,66" coordsize="2610,274" path="m4849,66l2240,66,2240,73,2240,340,4849,340,4849,73,4849,66xe" filled="true" fillcolor="#ff0000" stroked="false">
            <v:path arrowok="t"/>
            <v:fill type="solid"/>
            <w10:wrap type="topAndBottom"/>
          </v:shape>
        </w:pict>
      </w:r>
    </w:p>
    <w:p>
      <w:pPr>
        <w:pStyle w:val="Heading2"/>
        <w:jc w:val="both"/>
      </w:pPr>
      <w:bookmarkStart w:name="_TOC_250030" w:id="3"/>
      <w:r>
        <w:rPr>
          <w:color w:val="FF0000"/>
        </w:rPr>
        <w:t>BASES</w:t>
      </w:r>
      <w:r>
        <w:rPr>
          <w:color w:val="FF0000"/>
          <w:spacing w:val="-4"/>
        </w:rPr>
        <w:t> </w:t>
      </w:r>
      <w:r>
        <w:rPr>
          <w:color w:val="FF0000"/>
        </w:rPr>
        <w:t>DE</w:t>
      </w:r>
      <w:r>
        <w:rPr>
          <w:color w:val="FF0000"/>
          <w:spacing w:val="-2"/>
        </w:rPr>
        <w:t> </w:t>
      </w:r>
      <w:r>
        <w:rPr>
          <w:color w:val="FF0000"/>
        </w:rPr>
        <w:t>LAS</w:t>
      </w:r>
      <w:bookmarkEnd w:id="3"/>
      <w:r>
        <w:rPr>
          <w:color w:val="FF0000"/>
          <w:spacing w:val="-2"/>
        </w:rPr>
        <w:t> DIRECTRICES</w:t>
      </w:r>
    </w:p>
    <w:p>
      <w:pPr>
        <w:pStyle w:val="BodyText"/>
        <w:rPr>
          <w:sz w:val="26"/>
        </w:rPr>
      </w:pPr>
    </w:p>
    <w:p>
      <w:pPr>
        <w:pStyle w:val="BodyText"/>
        <w:spacing w:before="7"/>
        <w:rPr>
          <w:sz w:val="23"/>
        </w:rPr>
      </w:pPr>
    </w:p>
    <w:p>
      <w:pPr>
        <w:pStyle w:val="BodyText"/>
        <w:spacing w:line="271" w:lineRule="auto"/>
        <w:ind w:left="978" w:right="864" w:hanging="10"/>
        <w:jc w:val="both"/>
      </w:pPr>
      <w:r>
        <w:rPr/>
        <w:t>Las Directrices para el Acuerdo Marco y la gestión de subvenciones de DIPD se basan</w:t>
      </w:r>
      <w:r>
        <w:rPr>
          <w:spacing w:val="-5"/>
        </w:rPr>
        <w:t> </w:t>
      </w:r>
      <w:r>
        <w:rPr/>
        <w:t>en</w:t>
      </w:r>
      <w:r>
        <w:rPr>
          <w:spacing w:val="-4"/>
        </w:rPr>
        <w:t> </w:t>
      </w:r>
      <w:r>
        <w:rPr/>
        <w:t>las</w:t>
      </w:r>
      <w:r>
        <w:rPr>
          <w:spacing w:val="-2"/>
        </w:rPr>
        <w:t> </w:t>
      </w:r>
      <w:r>
        <w:rPr/>
        <w:t>líneas</w:t>
      </w:r>
      <w:r>
        <w:rPr>
          <w:spacing w:val="-6"/>
        </w:rPr>
        <w:t> </w:t>
      </w:r>
      <w:r>
        <w:rPr/>
        <w:t>de</w:t>
      </w:r>
      <w:r>
        <w:rPr>
          <w:spacing w:val="-4"/>
        </w:rPr>
        <w:t> </w:t>
      </w:r>
      <w:r>
        <w:rPr/>
        <w:t>dirección</w:t>
      </w:r>
      <w:r>
        <w:rPr>
          <w:spacing w:val="-7"/>
        </w:rPr>
        <w:t> </w:t>
      </w:r>
      <w:r>
        <w:rPr/>
        <w:t>elaboradas</w:t>
      </w:r>
      <w:r>
        <w:rPr>
          <w:spacing w:val="-6"/>
        </w:rPr>
        <w:t> </w:t>
      </w:r>
      <w:r>
        <w:rPr/>
        <w:t>por</w:t>
      </w:r>
      <w:r>
        <w:rPr>
          <w:spacing w:val="-6"/>
        </w:rPr>
        <w:t> </w:t>
      </w:r>
      <w:r>
        <w:rPr/>
        <w:t>el</w:t>
      </w:r>
      <w:r>
        <w:rPr>
          <w:spacing w:val="-5"/>
        </w:rPr>
        <w:t> </w:t>
      </w:r>
      <w:r>
        <w:rPr/>
        <w:t>Ministerio</w:t>
      </w:r>
      <w:r>
        <w:rPr>
          <w:spacing w:val="-5"/>
        </w:rPr>
        <w:t> </w:t>
      </w:r>
      <w:r>
        <w:rPr/>
        <w:t>de</w:t>
      </w:r>
      <w:r>
        <w:rPr>
          <w:spacing w:val="-4"/>
        </w:rPr>
        <w:t> </w:t>
      </w:r>
      <w:r>
        <w:rPr/>
        <w:t>Asuntos</w:t>
      </w:r>
      <w:r>
        <w:rPr>
          <w:spacing w:val="-6"/>
        </w:rPr>
        <w:t> </w:t>
      </w:r>
      <w:r>
        <w:rPr/>
        <w:t>Exteriores Danés</w:t>
      </w:r>
      <w:r>
        <w:rPr>
          <w:spacing w:val="-14"/>
        </w:rPr>
        <w:t> </w:t>
      </w:r>
      <w:r>
        <w:rPr/>
        <w:t>con</w:t>
      </w:r>
      <w:r>
        <w:rPr>
          <w:spacing w:val="-14"/>
        </w:rPr>
        <w:t> </w:t>
      </w:r>
      <w:r>
        <w:rPr/>
        <w:t>respecto</w:t>
      </w:r>
      <w:r>
        <w:rPr>
          <w:spacing w:val="-14"/>
        </w:rPr>
        <w:t> </w:t>
      </w:r>
      <w:r>
        <w:rPr/>
        <w:t>a</w:t>
      </w:r>
      <w:r>
        <w:rPr>
          <w:spacing w:val="-14"/>
        </w:rPr>
        <w:t> </w:t>
      </w:r>
      <w:r>
        <w:rPr/>
        <w:t>las</w:t>
      </w:r>
      <w:r>
        <w:rPr>
          <w:spacing w:val="-12"/>
        </w:rPr>
        <w:t> </w:t>
      </w:r>
      <w:r>
        <w:rPr/>
        <w:t>‘Directrices</w:t>
      </w:r>
      <w:r>
        <w:rPr>
          <w:spacing w:val="-14"/>
        </w:rPr>
        <w:t> </w:t>
      </w:r>
      <w:r>
        <w:rPr/>
        <w:t>administrativas</w:t>
      </w:r>
      <w:r>
        <w:rPr>
          <w:spacing w:val="-14"/>
        </w:rPr>
        <w:t> </w:t>
      </w:r>
      <w:r>
        <w:rPr/>
        <w:t>para</w:t>
      </w:r>
      <w:r>
        <w:rPr>
          <w:spacing w:val="-14"/>
        </w:rPr>
        <w:t> </w:t>
      </w:r>
      <w:r>
        <w:rPr/>
        <w:t>subvenciones</w:t>
      </w:r>
      <w:r>
        <w:rPr>
          <w:spacing w:val="-11"/>
        </w:rPr>
        <w:t> </w:t>
      </w:r>
      <w:r>
        <w:rPr/>
        <w:t>destinadas a Organizaciones de la Sociedad Civil que califican como Socios Estratégicos’ de abril</w:t>
      </w:r>
      <w:r>
        <w:rPr>
          <w:spacing w:val="-5"/>
        </w:rPr>
        <w:t> </w:t>
      </w:r>
      <w:r>
        <w:rPr/>
        <w:t>de</w:t>
      </w:r>
      <w:r>
        <w:rPr>
          <w:spacing w:val="-5"/>
        </w:rPr>
        <w:t> </w:t>
      </w:r>
      <w:r>
        <w:rPr/>
        <w:t>2021.</w:t>
      </w:r>
      <w:r>
        <w:rPr>
          <w:spacing w:val="-4"/>
        </w:rPr>
        <w:t> </w:t>
      </w:r>
      <w:r>
        <w:rPr/>
        <w:t>Se</w:t>
      </w:r>
      <w:r>
        <w:rPr>
          <w:spacing w:val="-7"/>
        </w:rPr>
        <w:t> </w:t>
      </w:r>
      <w:r>
        <w:rPr/>
        <w:t>establece</w:t>
      </w:r>
      <w:r>
        <w:rPr>
          <w:spacing w:val="-5"/>
        </w:rPr>
        <w:t> </w:t>
      </w:r>
      <w:r>
        <w:rPr/>
        <w:t>tanto</w:t>
      </w:r>
      <w:r>
        <w:rPr>
          <w:spacing w:val="-7"/>
        </w:rPr>
        <w:t> </w:t>
      </w:r>
      <w:r>
        <w:rPr/>
        <w:t>en</w:t>
      </w:r>
      <w:r>
        <w:rPr>
          <w:spacing w:val="-7"/>
        </w:rPr>
        <w:t> </w:t>
      </w:r>
      <w:r>
        <w:rPr/>
        <w:t>las</w:t>
      </w:r>
      <w:r>
        <w:rPr>
          <w:spacing w:val="-6"/>
        </w:rPr>
        <w:t> </w:t>
      </w:r>
      <w:r>
        <w:rPr/>
        <w:t>notas</w:t>
      </w:r>
      <w:r>
        <w:rPr>
          <w:spacing w:val="-5"/>
        </w:rPr>
        <w:t> </w:t>
      </w:r>
      <w:r>
        <w:rPr/>
        <w:t>explicativas</w:t>
      </w:r>
      <w:r>
        <w:rPr>
          <w:spacing w:val="-6"/>
        </w:rPr>
        <w:t> </w:t>
      </w:r>
      <w:r>
        <w:rPr/>
        <w:t>de</w:t>
      </w:r>
      <w:r>
        <w:rPr>
          <w:spacing w:val="-5"/>
        </w:rPr>
        <w:t> </w:t>
      </w:r>
      <w:r>
        <w:rPr/>
        <w:t>la</w:t>
      </w:r>
      <w:r>
        <w:rPr>
          <w:spacing w:val="-4"/>
        </w:rPr>
        <w:t> </w:t>
      </w:r>
      <w:r>
        <w:rPr/>
        <w:t>legislación</w:t>
      </w:r>
      <w:r>
        <w:rPr>
          <w:spacing w:val="-5"/>
        </w:rPr>
        <w:t> </w:t>
      </w:r>
      <w:r>
        <w:rPr/>
        <w:t>sobre</w:t>
      </w:r>
      <w:r>
        <w:rPr>
          <w:spacing w:val="-4"/>
        </w:rPr>
        <w:t> </w:t>
      </w:r>
      <w:r>
        <w:rPr/>
        <w:t>el Instituto Danés para los Partidos y la Democracia (DIPD) y el acuerdo de cooperación entre el Ministerio de Exteriores Danés y DIPD que la asistencia de DIPD debe adherirse al mismo código de prácticas.</w:t>
      </w:r>
    </w:p>
    <w:p>
      <w:pPr>
        <w:pStyle w:val="BodyText"/>
        <w:spacing w:line="271" w:lineRule="auto" w:before="118"/>
        <w:ind w:left="963" w:right="856" w:hanging="10"/>
        <w:jc w:val="both"/>
      </w:pPr>
      <w:r>
        <w:rPr/>
        <w:t>Además, las directrices del encargo de DIPD se han adoptado siguiendo la misma dirección de la estrategia para 2021-2025. Las directrices contienen algunas consideraciones sobre la misión y el marco de resultados de DIPD, que deben cumplirse</w:t>
      </w:r>
      <w:r>
        <w:rPr>
          <w:spacing w:val="-14"/>
        </w:rPr>
        <w:t> </w:t>
      </w:r>
      <w:r>
        <w:rPr/>
        <w:t>para</w:t>
      </w:r>
      <w:r>
        <w:rPr>
          <w:spacing w:val="-14"/>
        </w:rPr>
        <w:t> </w:t>
      </w:r>
      <w:r>
        <w:rPr/>
        <w:t>lograr</w:t>
      </w:r>
      <w:r>
        <w:rPr>
          <w:spacing w:val="-14"/>
        </w:rPr>
        <w:t> </w:t>
      </w:r>
      <w:r>
        <w:rPr/>
        <w:t>el</w:t>
      </w:r>
      <w:r>
        <w:rPr>
          <w:spacing w:val="-14"/>
        </w:rPr>
        <w:t> </w:t>
      </w:r>
      <w:r>
        <w:rPr/>
        <w:t>apoyo</w:t>
      </w:r>
      <w:r>
        <w:rPr>
          <w:spacing w:val="-14"/>
        </w:rPr>
        <w:t> </w:t>
      </w:r>
      <w:r>
        <w:rPr/>
        <w:t>financiero</w:t>
      </w:r>
      <w:r>
        <w:rPr>
          <w:spacing w:val="-14"/>
        </w:rPr>
        <w:t> </w:t>
      </w:r>
      <w:r>
        <w:rPr/>
        <w:t>para</w:t>
      </w:r>
      <w:r>
        <w:rPr>
          <w:spacing w:val="-14"/>
        </w:rPr>
        <w:t> </w:t>
      </w:r>
      <w:r>
        <w:rPr/>
        <w:t>estas</w:t>
      </w:r>
      <w:r>
        <w:rPr>
          <w:spacing w:val="-14"/>
        </w:rPr>
        <w:t> </w:t>
      </w:r>
      <w:r>
        <w:rPr/>
        <w:t>asociaciones</w:t>
      </w:r>
      <w:r>
        <w:rPr>
          <w:spacing w:val="-14"/>
        </w:rPr>
        <w:t> </w:t>
      </w:r>
      <w:r>
        <w:rPr/>
        <w:t>democráticas.</w:t>
      </w:r>
      <w:r>
        <w:rPr>
          <w:spacing w:val="-13"/>
        </w:rPr>
        <w:t> </w:t>
      </w:r>
      <w:r>
        <w:rPr/>
        <w:t>Las asociaciones pueden ser entre partidos políticos daneses y partidos políticos, movimientos políticos o instituciones políticas en países en desarrollo, o asociaciones</w:t>
      </w:r>
      <w:r>
        <w:rPr>
          <w:spacing w:val="-6"/>
        </w:rPr>
        <w:t> </w:t>
      </w:r>
      <w:r>
        <w:rPr/>
        <w:t>con</w:t>
      </w:r>
      <w:r>
        <w:rPr>
          <w:spacing w:val="-5"/>
        </w:rPr>
        <w:t> </w:t>
      </w:r>
      <w:r>
        <w:rPr/>
        <w:t>plataformas</w:t>
      </w:r>
      <w:r>
        <w:rPr>
          <w:spacing w:val="-3"/>
        </w:rPr>
        <w:t> </w:t>
      </w:r>
      <w:r>
        <w:rPr/>
        <w:t>multipartidistas</w:t>
      </w:r>
      <w:r>
        <w:rPr>
          <w:spacing w:val="-7"/>
        </w:rPr>
        <w:t> </w:t>
      </w:r>
      <w:r>
        <w:rPr/>
        <w:t>y</w:t>
      </w:r>
      <w:r>
        <w:rPr>
          <w:spacing w:val="-4"/>
        </w:rPr>
        <w:t> </w:t>
      </w:r>
      <w:r>
        <w:rPr/>
        <w:t>otras</w:t>
      </w:r>
      <w:r>
        <w:rPr>
          <w:spacing w:val="-4"/>
        </w:rPr>
        <w:t> </w:t>
      </w:r>
      <w:r>
        <w:rPr/>
        <w:t>organizaciones</w:t>
      </w:r>
      <w:r>
        <w:rPr>
          <w:spacing w:val="-7"/>
        </w:rPr>
        <w:t> </w:t>
      </w:r>
      <w:r>
        <w:rPr/>
        <w:t>con</w:t>
      </w:r>
      <w:r>
        <w:rPr>
          <w:spacing w:val="-6"/>
        </w:rPr>
        <w:t> </w:t>
      </w:r>
      <w:r>
        <w:rPr/>
        <w:t>interés</w:t>
      </w:r>
      <w:r>
        <w:rPr>
          <w:spacing w:val="-2"/>
        </w:rPr>
        <w:t> </w:t>
      </w:r>
      <w:r>
        <w:rPr/>
        <w:t>en la cultura democrática de los países en desarrollo.</w:t>
      </w:r>
    </w:p>
    <w:p>
      <w:pPr>
        <w:pStyle w:val="BodyText"/>
        <w:spacing w:before="117"/>
        <w:ind w:left="954"/>
        <w:jc w:val="both"/>
      </w:pPr>
      <w:r>
        <w:rPr/>
        <w:t>Las</w:t>
      </w:r>
      <w:r>
        <w:rPr>
          <w:spacing w:val="-8"/>
        </w:rPr>
        <w:t> </w:t>
      </w:r>
      <w:r>
        <w:rPr/>
        <w:t>directrices</w:t>
      </w:r>
      <w:r>
        <w:rPr>
          <w:spacing w:val="-8"/>
        </w:rPr>
        <w:t> </w:t>
      </w:r>
      <w:r>
        <w:rPr/>
        <w:t>constan</w:t>
      </w:r>
      <w:r>
        <w:rPr>
          <w:spacing w:val="-7"/>
        </w:rPr>
        <w:t> </w:t>
      </w:r>
      <w:r>
        <w:rPr/>
        <w:t>de</w:t>
      </w:r>
      <w:r>
        <w:rPr>
          <w:spacing w:val="-10"/>
        </w:rPr>
        <w:t> </w:t>
      </w:r>
      <w:r>
        <w:rPr/>
        <w:t>tres</w:t>
      </w:r>
      <w:r>
        <w:rPr>
          <w:spacing w:val="-8"/>
        </w:rPr>
        <w:t> </w:t>
      </w:r>
      <w:r>
        <w:rPr/>
        <w:t>partes</w:t>
      </w:r>
      <w:r>
        <w:rPr>
          <w:spacing w:val="-7"/>
        </w:rPr>
        <w:t> </w:t>
      </w:r>
      <w:r>
        <w:rPr/>
        <w:t>principales</w:t>
      </w:r>
      <w:r>
        <w:rPr>
          <w:spacing w:val="-7"/>
        </w:rPr>
        <w:t> </w:t>
      </w:r>
      <w:r>
        <w:rPr>
          <w:spacing w:val="-4"/>
        </w:rPr>
        <w:t>que:</w:t>
      </w:r>
    </w:p>
    <w:p>
      <w:pPr>
        <w:pStyle w:val="ListParagraph"/>
        <w:numPr>
          <w:ilvl w:val="0"/>
          <w:numId w:val="3"/>
        </w:numPr>
        <w:tabs>
          <w:tab w:pos="1168" w:val="left" w:leader="none"/>
        </w:tabs>
        <w:spacing w:line="240" w:lineRule="auto" w:before="154" w:after="0"/>
        <w:ind w:left="1167" w:right="0" w:hanging="214"/>
        <w:jc w:val="left"/>
        <w:rPr>
          <w:sz w:val="20"/>
        </w:rPr>
      </w:pPr>
      <w:r>
        <w:rPr>
          <w:sz w:val="20"/>
        </w:rPr>
        <w:t>Describen</w:t>
      </w:r>
      <w:r>
        <w:rPr>
          <w:spacing w:val="-14"/>
          <w:sz w:val="20"/>
        </w:rPr>
        <w:t> </w:t>
      </w:r>
      <w:r>
        <w:rPr>
          <w:sz w:val="20"/>
        </w:rPr>
        <w:t>el</w:t>
      </w:r>
      <w:r>
        <w:rPr>
          <w:spacing w:val="-14"/>
          <w:sz w:val="20"/>
        </w:rPr>
        <w:t> </w:t>
      </w:r>
      <w:r>
        <w:rPr>
          <w:sz w:val="20"/>
        </w:rPr>
        <w:t>formato</w:t>
      </w:r>
      <w:r>
        <w:rPr>
          <w:spacing w:val="-13"/>
          <w:sz w:val="20"/>
        </w:rPr>
        <w:t> </w:t>
      </w:r>
      <w:r>
        <w:rPr>
          <w:sz w:val="20"/>
        </w:rPr>
        <w:t>del</w:t>
      </w:r>
      <w:r>
        <w:rPr>
          <w:spacing w:val="-14"/>
          <w:sz w:val="20"/>
        </w:rPr>
        <w:t> </w:t>
      </w:r>
      <w:r>
        <w:rPr>
          <w:sz w:val="20"/>
        </w:rPr>
        <w:t>Acuerdo</w:t>
      </w:r>
      <w:r>
        <w:rPr>
          <w:spacing w:val="-13"/>
          <w:sz w:val="20"/>
        </w:rPr>
        <w:t> </w:t>
      </w:r>
      <w:r>
        <w:rPr>
          <w:sz w:val="20"/>
        </w:rPr>
        <w:t>Marco</w:t>
      </w:r>
      <w:r>
        <w:rPr>
          <w:spacing w:val="-14"/>
          <w:sz w:val="20"/>
        </w:rPr>
        <w:t> </w:t>
      </w:r>
      <w:r>
        <w:rPr>
          <w:sz w:val="20"/>
        </w:rPr>
        <w:t>y</w:t>
      </w:r>
      <w:r>
        <w:rPr>
          <w:spacing w:val="-14"/>
          <w:sz w:val="20"/>
        </w:rPr>
        <w:t> </w:t>
      </w:r>
      <w:r>
        <w:rPr>
          <w:sz w:val="20"/>
        </w:rPr>
        <w:t>los</w:t>
      </w:r>
      <w:r>
        <w:rPr>
          <w:spacing w:val="-14"/>
          <w:sz w:val="20"/>
        </w:rPr>
        <w:t> </w:t>
      </w:r>
      <w:r>
        <w:rPr>
          <w:sz w:val="20"/>
        </w:rPr>
        <w:t>procedimientos</w:t>
      </w:r>
      <w:r>
        <w:rPr>
          <w:spacing w:val="-13"/>
          <w:sz w:val="20"/>
        </w:rPr>
        <w:t> </w:t>
      </w:r>
      <w:r>
        <w:rPr>
          <w:sz w:val="20"/>
        </w:rPr>
        <w:t>del</w:t>
      </w:r>
      <w:r>
        <w:rPr>
          <w:spacing w:val="-14"/>
          <w:sz w:val="20"/>
        </w:rPr>
        <w:t> </w:t>
      </w:r>
      <w:r>
        <w:rPr>
          <w:sz w:val="20"/>
        </w:rPr>
        <w:t>Acuerdo</w:t>
      </w:r>
      <w:r>
        <w:rPr>
          <w:spacing w:val="-13"/>
          <w:sz w:val="20"/>
        </w:rPr>
        <w:t> </w:t>
      </w:r>
      <w:r>
        <w:rPr>
          <w:spacing w:val="-2"/>
          <w:sz w:val="20"/>
        </w:rPr>
        <w:t>Marco.</w:t>
      </w:r>
    </w:p>
    <w:p>
      <w:pPr>
        <w:pStyle w:val="ListParagraph"/>
        <w:numPr>
          <w:ilvl w:val="0"/>
          <w:numId w:val="3"/>
        </w:numPr>
        <w:tabs>
          <w:tab w:pos="1175" w:val="left" w:leader="none"/>
        </w:tabs>
        <w:spacing w:line="240" w:lineRule="auto" w:before="154" w:after="0"/>
        <w:ind w:left="1174" w:right="0" w:hanging="221"/>
        <w:jc w:val="left"/>
        <w:rPr>
          <w:sz w:val="20"/>
        </w:rPr>
      </w:pPr>
      <w:r>
        <w:rPr>
          <w:sz w:val="20"/>
        </w:rPr>
        <w:t>Describen</w:t>
      </w:r>
      <w:r>
        <w:rPr>
          <w:spacing w:val="-4"/>
          <w:sz w:val="20"/>
        </w:rPr>
        <w:t> </w:t>
      </w:r>
      <w:r>
        <w:rPr>
          <w:sz w:val="20"/>
        </w:rPr>
        <w:t>la</w:t>
      </w:r>
      <w:r>
        <w:rPr>
          <w:spacing w:val="-6"/>
          <w:sz w:val="20"/>
        </w:rPr>
        <w:t> </w:t>
      </w:r>
      <w:r>
        <w:rPr>
          <w:sz w:val="20"/>
        </w:rPr>
        <w:t>gestión</w:t>
      </w:r>
      <w:r>
        <w:rPr>
          <w:spacing w:val="-6"/>
          <w:sz w:val="20"/>
        </w:rPr>
        <w:t> </w:t>
      </w:r>
      <w:r>
        <w:rPr>
          <w:sz w:val="20"/>
        </w:rPr>
        <w:t>de</w:t>
      </w:r>
      <w:r>
        <w:rPr>
          <w:spacing w:val="-7"/>
          <w:sz w:val="20"/>
        </w:rPr>
        <w:t> </w:t>
      </w:r>
      <w:r>
        <w:rPr>
          <w:spacing w:val="-2"/>
          <w:sz w:val="20"/>
        </w:rPr>
        <w:t>fondos.</w:t>
      </w:r>
    </w:p>
    <w:p>
      <w:pPr>
        <w:pStyle w:val="ListParagraph"/>
        <w:numPr>
          <w:ilvl w:val="0"/>
          <w:numId w:val="3"/>
        </w:numPr>
        <w:tabs>
          <w:tab w:pos="1175" w:val="left" w:leader="none"/>
        </w:tabs>
        <w:spacing w:line="240" w:lineRule="auto" w:before="156" w:after="0"/>
        <w:ind w:left="1174" w:right="0" w:hanging="221"/>
        <w:jc w:val="left"/>
        <w:rPr>
          <w:sz w:val="20"/>
        </w:rPr>
      </w:pPr>
      <w:r>
        <w:rPr>
          <w:sz w:val="20"/>
        </w:rPr>
        <w:t>Presentar</w:t>
      </w:r>
      <w:r>
        <w:rPr>
          <w:spacing w:val="-6"/>
          <w:sz w:val="20"/>
        </w:rPr>
        <w:t> </w:t>
      </w:r>
      <w:r>
        <w:rPr>
          <w:sz w:val="20"/>
        </w:rPr>
        <w:t>los</w:t>
      </w:r>
      <w:r>
        <w:rPr>
          <w:spacing w:val="-7"/>
          <w:sz w:val="20"/>
        </w:rPr>
        <w:t> </w:t>
      </w:r>
      <w:r>
        <w:rPr>
          <w:sz w:val="20"/>
        </w:rPr>
        <w:t>anexos</w:t>
      </w:r>
      <w:r>
        <w:rPr>
          <w:spacing w:val="-7"/>
          <w:sz w:val="20"/>
        </w:rPr>
        <w:t> </w:t>
      </w:r>
      <w:r>
        <w:rPr>
          <w:sz w:val="20"/>
        </w:rPr>
        <w:t>técnicos</w:t>
      </w:r>
      <w:r>
        <w:rPr>
          <w:spacing w:val="-7"/>
          <w:sz w:val="20"/>
        </w:rPr>
        <w:t> </w:t>
      </w:r>
      <w:r>
        <w:rPr>
          <w:sz w:val="20"/>
        </w:rPr>
        <w:t>y</w:t>
      </w:r>
      <w:r>
        <w:rPr>
          <w:spacing w:val="-7"/>
          <w:sz w:val="20"/>
        </w:rPr>
        <w:t> </w:t>
      </w:r>
      <w:r>
        <w:rPr>
          <w:spacing w:val="-2"/>
          <w:sz w:val="20"/>
        </w:rPr>
        <w:t>formatos.</w:t>
      </w:r>
    </w:p>
    <w:p>
      <w:pPr>
        <w:pStyle w:val="BodyText"/>
        <w:spacing w:line="271" w:lineRule="auto" w:before="155"/>
        <w:ind w:left="963" w:right="861" w:hanging="10"/>
        <w:jc w:val="both"/>
      </w:pPr>
      <w:r>
        <w:rPr/>
        <w:t>Se espera que todos los socios de DIPD estén familiarizados con el contenido de las</w:t>
      </w:r>
      <w:r>
        <w:rPr>
          <w:spacing w:val="-14"/>
        </w:rPr>
        <w:t> </w:t>
      </w:r>
      <w:r>
        <w:rPr/>
        <w:t>directrices,</w:t>
      </w:r>
      <w:r>
        <w:rPr>
          <w:spacing w:val="-14"/>
        </w:rPr>
        <w:t> </w:t>
      </w:r>
      <w:r>
        <w:rPr/>
        <w:t>así</w:t>
      </w:r>
      <w:r>
        <w:rPr>
          <w:spacing w:val="-14"/>
        </w:rPr>
        <w:t> </w:t>
      </w:r>
      <w:r>
        <w:rPr/>
        <w:t>como</w:t>
      </w:r>
      <w:r>
        <w:rPr>
          <w:spacing w:val="-14"/>
        </w:rPr>
        <w:t> </w:t>
      </w:r>
      <w:r>
        <w:rPr/>
        <w:t>con</w:t>
      </w:r>
      <w:r>
        <w:rPr>
          <w:spacing w:val="-14"/>
        </w:rPr>
        <w:t> </w:t>
      </w:r>
      <w:r>
        <w:rPr/>
        <w:t>los</w:t>
      </w:r>
      <w:r>
        <w:rPr>
          <w:spacing w:val="-14"/>
        </w:rPr>
        <w:t> </w:t>
      </w:r>
      <w:r>
        <w:rPr/>
        <w:t>anexos</w:t>
      </w:r>
      <w:r>
        <w:rPr>
          <w:spacing w:val="-14"/>
        </w:rPr>
        <w:t> </w:t>
      </w:r>
      <w:r>
        <w:rPr/>
        <w:t>y</w:t>
      </w:r>
      <w:r>
        <w:rPr>
          <w:spacing w:val="-14"/>
        </w:rPr>
        <w:t> </w:t>
      </w:r>
      <w:r>
        <w:rPr/>
        <w:t>formatos</w:t>
      </w:r>
      <w:r>
        <w:rPr>
          <w:spacing w:val="-14"/>
        </w:rPr>
        <w:t> </w:t>
      </w:r>
      <w:r>
        <w:rPr/>
        <w:t>correspondientes</w:t>
      </w:r>
      <w:r>
        <w:rPr>
          <w:spacing w:val="-13"/>
        </w:rPr>
        <w:t> </w:t>
      </w:r>
      <w:r>
        <w:rPr/>
        <w:t>antes</w:t>
      </w:r>
      <w:r>
        <w:rPr>
          <w:spacing w:val="-14"/>
        </w:rPr>
        <w:t> </w:t>
      </w:r>
      <w:r>
        <w:rPr/>
        <w:t>de</w:t>
      </w:r>
      <w:r>
        <w:rPr>
          <w:spacing w:val="-14"/>
        </w:rPr>
        <w:t> </w:t>
      </w:r>
      <w:r>
        <w:rPr/>
        <w:t>enviar su</w:t>
      </w:r>
      <w:r>
        <w:rPr>
          <w:spacing w:val="-4"/>
        </w:rPr>
        <w:t> </w:t>
      </w:r>
      <w:r>
        <w:rPr/>
        <w:t>formato</w:t>
      </w:r>
      <w:r>
        <w:rPr>
          <w:spacing w:val="-5"/>
        </w:rPr>
        <w:t> </w:t>
      </w:r>
      <w:r>
        <w:rPr/>
        <w:t>de</w:t>
      </w:r>
      <w:r>
        <w:rPr>
          <w:spacing w:val="-4"/>
        </w:rPr>
        <w:t> </w:t>
      </w:r>
      <w:r>
        <w:rPr/>
        <w:t>Acuerdo</w:t>
      </w:r>
      <w:r>
        <w:rPr>
          <w:spacing w:val="-5"/>
        </w:rPr>
        <w:t> </w:t>
      </w:r>
      <w:r>
        <w:rPr/>
        <w:t>Marco</w:t>
      </w:r>
      <w:r>
        <w:rPr>
          <w:spacing w:val="-4"/>
        </w:rPr>
        <w:t> </w:t>
      </w:r>
      <w:r>
        <w:rPr/>
        <w:t>a</w:t>
      </w:r>
      <w:r>
        <w:rPr>
          <w:spacing w:val="-5"/>
        </w:rPr>
        <w:t> </w:t>
      </w:r>
      <w:r>
        <w:rPr/>
        <w:t>DIPD.</w:t>
      </w:r>
      <w:r>
        <w:rPr>
          <w:spacing w:val="-4"/>
        </w:rPr>
        <w:t> </w:t>
      </w:r>
      <w:r>
        <w:rPr/>
        <w:t>También</w:t>
      </w:r>
      <w:r>
        <w:rPr>
          <w:spacing w:val="-5"/>
        </w:rPr>
        <w:t> </w:t>
      </w:r>
      <w:r>
        <w:rPr/>
        <w:t>se</w:t>
      </w:r>
      <w:r>
        <w:rPr>
          <w:spacing w:val="-4"/>
        </w:rPr>
        <w:t> </w:t>
      </w:r>
      <w:r>
        <w:rPr/>
        <w:t>espera</w:t>
      </w:r>
      <w:r>
        <w:rPr>
          <w:spacing w:val="-4"/>
        </w:rPr>
        <w:t> </w:t>
      </w:r>
      <w:r>
        <w:rPr/>
        <w:t>que</w:t>
      </w:r>
      <w:r>
        <w:rPr>
          <w:spacing w:val="-2"/>
        </w:rPr>
        <w:t> </w:t>
      </w:r>
      <w:r>
        <w:rPr/>
        <w:t>los</w:t>
      </w:r>
      <w:r>
        <w:rPr>
          <w:spacing w:val="-3"/>
        </w:rPr>
        <w:t> </w:t>
      </w:r>
      <w:r>
        <w:rPr/>
        <w:t>socios</w:t>
      </w:r>
      <w:r>
        <w:rPr>
          <w:spacing w:val="-3"/>
        </w:rPr>
        <w:t> </w:t>
      </w:r>
      <w:r>
        <w:rPr/>
        <w:t>consulten y utilicen las directrices con regularidad durante el ciclo de vida del encargo, incluyendo durante la presentación del informe final y las cuentas.</w:t>
      </w:r>
    </w:p>
    <w:p>
      <w:pPr>
        <w:spacing w:after="0" w:line="271" w:lineRule="auto"/>
        <w:jc w:val="both"/>
        <w:sectPr>
          <w:pgSz w:w="11910" w:h="16850"/>
          <w:pgMar w:header="718" w:footer="843" w:top="940" w:bottom="1040" w:left="1300" w:right="1400"/>
        </w:sectPr>
      </w:pPr>
    </w:p>
    <w:p>
      <w:pPr>
        <w:pStyle w:val="BodyText"/>
      </w:pPr>
    </w:p>
    <w:p>
      <w:pPr>
        <w:pStyle w:val="Heading1"/>
        <w:numPr>
          <w:ilvl w:val="0"/>
          <w:numId w:val="4"/>
        </w:numPr>
        <w:tabs>
          <w:tab w:pos="1754" w:val="left" w:leader="none"/>
        </w:tabs>
        <w:spacing w:line="268" w:lineRule="auto" w:before="199" w:after="0"/>
        <w:ind w:left="963" w:right="1759" w:hanging="10"/>
        <w:jc w:val="left"/>
      </w:pPr>
      <w:bookmarkStart w:name="_TOC_250029" w:id="4"/>
      <w:r>
        <w:rPr>
          <w:color w:val="A6A6A6"/>
        </w:rPr>
        <w:t>FORMATO DE ACUERDO</w:t>
      </w:r>
      <w:r>
        <w:rPr>
          <w:color w:val="A6A6A6"/>
          <w:spacing w:val="-33"/>
        </w:rPr>
        <w:t> </w:t>
      </w:r>
      <w:bookmarkEnd w:id="4"/>
      <w:r>
        <w:rPr>
          <w:color w:val="A6A6A6"/>
        </w:rPr>
        <w:t>MARCO</w:t>
      </w:r>
    </w:p>
    <w:p>
      <w:pPr>
        <w:pStyle w:val="BodyText"/>
        <w:ind w:left="939"/>
      </w:pPr>
      <w:r>
        <w:rPr/>
        <w:pict>
          <v:group style="width:130.5pt;height:13.6pt;mso-position-horizontal-relative:char;mso-position-vertical-relative:line" id="docshapegroup20" coordorigin="0,0" coordsize="2610,272">
            <v:shape style="position:absolute;left:0;top:0;width:2610;height:272" id="docshape21" coordorigin="0,0" coordsize="2610,272" path="m2609,0l0,0,0,7,0,271,2609,271,2609,7,2609,0xe" filled="true" fillcolor="#ff0000" stroked="false">
              <v:path arrowok="t"/>
              <v:fill type="solid"/>
            </v:shape>
          </v:group>
        </w:pict>
      </w:r>
      <w:r>
        <w:rPr/>
      </w:r>
    </w:p>
    <w:p>
      <w:pPr>
        <w:pStyle w:val="BodyText"/>
        <w:spacing w:before="7"/>
        <w:rPr>
          <w:sz w:val="28"/>
        </w:rPr>
      </w:pPr>
    </w:p>
    <w:p>
      <w:pPr>
        <w:pStyle w:val="Heading2"/>
        <w:numPr>
          <w:ilvl w:val="1"/>
          <w:numId w:val="4"/>
        </w:numPr>
        <w:tabs>
          <w:tab w:pos="812" w:val="left" w:leader="none"/>
          <w:tab w:pos="813" w:val="left" w:leader="none"/>
        </w:tabs>
        <w:spacing w:line="240" w:lineRule="auto" w:before="92" w:after="0"/>
        <w:ind w:left="812" w:right="0" w:hanging="697"/>
        <w:jc w:val="left"/>
      </w:pPr>
      <w:bookmarkStart w:name="_TOC_250028" w:id="5"/>
      <w:r>
        <w:rPr>
          <w:color w:val="FF0000"/>
        </w:rPr>
        <w:t>PROCESO</w:t>
      </w:r>
      <w:r>
        <w:rPr>
          <w:color w:val="FF0000"/>
          <w:spacing w:val="-7"/>
        </w:rPr>
        <w:t> </w:t>
      </w:r>
      <w:r>
        <w:rPr>
          <w:color w:val="FF0000"/>
        </w:rPr>
        <w:t>DE</w:t>
      </w:r>
      <w:r>
        <w:rPr>
          <w:color w:val="FF0000"/>
          <w:spacing w:val="-8"/>
        </w:rPr>
        <w:t> </w:t>
      </w:r>
      <w:r>
        <w:rPr>
          <w:color w:val="FF0000"/>
        </w:rPr>
        <w:t>ACUERDO</w:t>
      </w:r>
      <w:r>
        <w:rPr>
          <w:color w:val="FF0000"/>
          <w:spacing w:val="-6"/>
        </w:rPr>
        <w:t> </w:t>
      </w:r>
      <w:bookmarkEnd w:id="5"/>
      <w:r>
        <w:rPr>
          <w:color w:val="FF0000"/>
          <w:spacing w:val="-4"/>
        </w:rPr>
        <w:t>MARCO</w:t>
      </w:r>
    </w:p>
    <w:p>
      <w:pPr>
        <w:pStyle w:val="BodyText"/>
        <w:spacing w:line="259" w:lineRule="auto" w:before="185"/>
        <w:ind w:left="978" w:right="859" w:hanging="10"/>
        <w:jc w:val="both"/>
      </w:pPr>
      <w:r>
        <w:rPr/>
        <w:t>Los</w:t>
      </w:r>
      <w:r>
        <w:rPr>
          <w:spacing w:val="-9"/>
        </w:rPr>
        <w:t> </w:t>
      </w:r>
      <w:r>
        <w:rPr/>
        <w:t>formatos</w:t>
      </w:r>
      <w:r>
        <w:rPr>
          <w:spacing w:val="-10"/>
        </w:rPr>
        <w:t> </w:t>
      </w:r>
      <w:r>
        <w:rPr/>
        <w:t>del</w:t>
      </w:r>
      <w:r>
        <w:rPr>
          <w:spacing w:val="-11"/>
        </w:rPr>
        <w:t> </w:t>
      </w:r>
      <w:r>
        <w:rPr/>
        <w:t>Acuerdo</w:t>
      </w:r>
      <w:r>
        <w:rPr>
          <w:spacing w:val="-8"/>
        </w:rPr>
        <w:t> </w:t>
      </w:r>
      <w:r>
        <w:rPr/>
        <w:t>Marco</w:t>
      </w:r>
      <w:r>
        <w:rPr>
          <w:spacing w:val="-11"/>
        </w:rPr>
        <w:t> </w:t>
      </w:r>
      <w:r>
        <w:rPr/>
        <w:t>(</w:t>
      </w:r>
      <w:r>
        <w:rPr>
          <w:i/>
        </w:rPr>
        <w:t>FA</w:t>
      </w:r>
      <w:r>
        <w:rPr>
          <w:i/>
          <w:spacing w:val="-11"/>
        </w:rPr>
        <w:t> </w:t>
      </w:r>
      <w:r>
        <w:rPr>
          <w:i/>
        </w:rPr>
        <w:t>siglas</w:t>
      </w:r>
      <w:r>
        <w:rPr>
          <w:i/>
          <w:spacing w:val="-9"/>
        </w:rPr>
        <w:t> </w:t>
      </w:r>
      <w:r>
        <w:rPr>
          <w:i/>
        </w:rPr>
        <w:t>en</w:t>
      </w:r>
      <w:r>
        <w:rPr>
          <w:i/>
          <w:spacing w:val="-11"/>
        </w:rPr>
        <w:t> </w:t>
      </w:r>
      <w:r>
        <w:rPr>
          <w:i/>
        </w:rPr>
        <w:t>inglés</w:t>
      </w:r>
      <w:r>
        <w:rPr/>
        <w:t>)</w:t>
      </w:r>
      <w:r>
        <w:rPr>
          <w:spacing w:val="-9"/>
        </w:rPr>
        <w:t> </w:t>
      </w:r>
      <w:r>
        <w:rPr/>
        <w:t>se</w:t>
      </w:r>
      <w:r>
        <w:rPr>
          <w:spacing w:val="-11"/>
        </w:rPr>
        <w:t> </w:t>
      </w:r>
      <w:r>
        <w:rPr/>
        <w:t>pueden</w:t>
      </w:r>
      <w:r>
        <w:rPr>
          <w:spacing w:val="-11"/>
        </w:rPr>
        <w:t> </w:t>
      </w:r>
      <w:r>
        <w:rPr/>
        <w:t>enviar</w:t>
      </w:r>
      <w:r>
        <w:rPr>
          <w:spacing w:val="-10"/>
        </w:rPr>
        <w:t> </w:t>
      </w:r>
      <w:r>
        <w:rPr/>
        <w:t>al</w:t>
      </w:r>
      <w:r>
        <w:rPr>
          <w:spacing w:val="-11"/>
        </w:rPr>
        <w:t> </w:t>
      </w:r>
      <w:r>
        <w:rPr/>
        <w:t>DIPD</w:t>
      </w:r>
      <w:r>
        <w:rPr>
          <w:spacing w:val="-10"/>
        </w:rPr>
        <w:t> </w:t>
      </w:r>
      <w:r>
        <w:rPr/>
        <w:t>una vez</w:t>
      </w:r>
      <w:r>
        <w:rPr>
          <w:spacing w:val="-9"/>
        </w:rPr>
        <w:t> </w:t>
      </w:r>
      <w:r>
        <w:rPr/>
        <w:t>al</w:t>
      </w:r>
      <w:r>
        <w:rPr>
          <w:spacing w:val="-11"/>
        </w:rPr>
        <w:t> </w:t>
      </w:r>
      <w:r>
        <w:rPr/>
        <w:t>año</w:t>
      </w:r>
      <w:r>
        <w:rPr>
          <w:spacing w:val="-11"/>
        </w:rPr>
        <w:t> </w:t>
      </w:r>
      <w:r>
        <w:rPr/>
        <w:t>(dos</w:t>
      </w:r>
      <w:r>
        <w:rPr>
          <w:spacing w:val="-9"/>
        </w:rPr>
        <w:t> </w:t>
      </w:r>
      <w:r>
        <w:rPr/>
        <w:t>veces</w:t>
      </w:r>
      <w:r>
        <w:rPr>
          <w:spacing w:val="-9"/>
        </w:rPr>
        <w:t> </w:t>
      </w:r>
      <w:r>
        <w:rPr/>
        <w:t>en</w:t>
      </w:r>
      <w:r>
        <w:rPr>
          <w:spacing w:val="-8"/>
        </w:rPr>
        <w:t> </w:t>
      </w:r>
      <w:r>
        <w:rPr/>
        <w:t>2021).</w:t>
      </w:r>
      <w:r>
        <w:rPr>
          <w:spacing w:val="-10"/>
        </w:rPr>
        <w:t> </w:t>
      </w:r>
      <w:r>
        <w:rPr/>
        <w:t>Los</w:t>
      </w:r>
      <w:r>
        <w:rPr>
          <w:spacing w:val="-9"/>
        </w:rPr>
        <w:t> </w:t>
      </w:r>
      <w:r>
        <w:rPr/>
        <w:t>Socios</w:t>
      </w:r>
      <w:r>
        <w:rPr>
          <w:spacing w:val="-9"/>
        </w:rPr>
        <w:t> </w:t>
      </w:r>
      <w:r>
        <w:rPr/>
        <w:t>del</w:t>
      </w:r>
      <w:r>
        <w:rPr>
          <w:spacing w:val="-9"/>
        </w:rPr>
        <w:t> </w:t>
      </w:r>
      <w:r>
        <w:rPr/>
        <w:t>Encargo</w:t>
      </w:r>
      <w:r>
        <w:rPr>
          <w:spacing w:val="-9"/>
        </w:rPr>
        <w:t> </w:t>
      </w:r>
      <w:r>
        <w:rPr/>
        <w:t>(</w:t>
      </w:r>
      <w:r>
        <w:rPr>
          <w:i/>
        </w:rPr>
        <w:t>EP</w:t>
      </w:r>
      <w:r>
        <w:rPr>
          <w:i/>
          <w:spacing w:val="-9"/>
        </w:rPr>
        <w:t> </w:t>
      </w:r>
      <w:r>
        <w:rPr>
          <w:i/>
        </w:rPr>
        <w:t>siglas</w:t>
      </w:r>
      <w:r>
        <w:rPr>
          <w:i/>
          <w:spacing w:val="-9"/>
        </w:rPr>
        <w:t> </w:t>
      </w:r>
      <w:r>
        <w:rPr>
          <w:i/>
        </w:rPr>
        <w:t>en</w:t>
      </w:r>
      <w:r>
        <w:rPr>
          <w:i/>
          <w:spacing w:val="-11"/>
        </w:rPr>
        <w:t> </w:t>
      </w:r>
      <w:r>
        <w:rPr>
          <w:i/>
        </w:rPr>
        <w:t>inglés</w:t>
      </w:r>
      <w:r>
        <w:rPr/>
        <w:t>)</w:t>
      </w:r>
      <w:r>
        <w:rPr>
          <w:spacing w:val="-9"/>
        </w:rPr>
        <w:t> </w:t>
      </w:r>
      <w:r>
        <w:rPr/>
        <w:t>tienen la</w:t>
      </w:r>
      <w:r>
        <w:rPr>
          <w:spacing w:val="-9"/>
        </w:rPr>
        <w:t> </w:t>
      </w:r>
      <w:r>
        <w:rPr/>
        <w:t>oportunidad</w:t>
      </w:r>
      <w:r>
        <w:rPr>
          <w:spacing w:val="-9"/>
        </w:rPr>
        <w:t> </w:t>
      </w:r>
      <w:r>
        <w:rPr/>
        <w:t>de</w:t>
      </w:r>
      <w:r>
        <w:rPr>
          <w:spacing w:val="-7"/>
        </w:rPr>
        <w:t> </w:t>
      </w:r>
      <w:r>
        <w:rPr/>
        <w:t>discutir</w:t>
      </w:r>
      <w:r>
        <w:rPr>
          <w:spacing w:val="-8"/>
        </w:rPr>
        <w:t> </w:t>
      </w:r>
      <w:r>
        <w:rPr/>
        <w:t>el</w:t>
      </w:r>
      <w:r>
        <w:rPr>
          <w:spacing w:val="-7"/>
        </w:rPr>
        <w:t> </w:t>
      </w:r>
      <w:r>
        <w:rPr/>
        <w:t>borrador</w:t>
      </w:r>
      <w:r>
        <w:rPr>
          <w:spacing w:val="-8"/>
        </w:rPr>
        <w:t> </w:t>
      </w:r>
      <w:r>
        <w:rPr/>
        <w:t>del</w:t>
      </w:r>
      <w:r>
        <w:rPr>
          <w:spacing w:val="-10"/>
        </w:rPr>
        <w:t> </w:t>
      </w:r>
      <w:r>
        <w:rPr/>
        <w:t>FA</w:t>
      </w:r>
      <w:r>
        <w:rPr>
          <w:spacing w:val="-9"/>
        </w:rPr>
        <w:t> </w:t>
      </w:r>
      <w:r>
        <w:rPr/>
        <w:t>con</w:t>
      </w:r>
      <w:r>
        <w:rPr>
          <w:spacing w:val="-7"/>
        </w:rPr>
        <w:t> </w:t>
      </w:r>
      <w:r>
        <w:rPr/>
        <w:t>la</w:t>
      </w:r>
      <w:r>
        <w:rPr>
          <w:spacing w:val="-9"/>
        </w:rPr>
        <w:t> </w:t>
      </w:r>
      <w:r>
        <w:rPr/>
        <w:t>secretaría</w:t>
      </w:r>
      <w:r>
        <w:rPr>
          <w:spacing w:val="-9"/>
        </w:rPr>
        <w:t> </w:t>
      </w:r>
      <w:r>
        <w:rPr/>
        <w:t>de</w:t>
      </w:r>
      <w:r>
        <w:rPr>
          <w:spacing w:val="-9"/>
        </w:rPr>
        <w:t> </w:t>
      </w:r>
      <w:r>
        <w:rPr/>
        <w:t>DIPD</w:t>
      </w:r>
      <w:r>
        <w:rPr>
          <w:spacing w:val="-8"/>
        </w:rPr>
        <w:t> </w:t>
      </w:r>
      <w:r>
        <w:rPr/>
        <w:t>antes</w:t>
      </w:r>
      <w:r>
        <w:rPr>
          <w:spacing w:val="-8"/>
        </w:rPr>
        <w:t> </w:t>
      </w:r>
      <w:r>
        <w:rPr/>
        <w:t>de</w:t>
      </w:r>
      <w:r>
        <w:rPr>
          <w:spacing w:val="-9"/>
        </w:rPr>
        <w:t> </w:t>
      </w:r>
      <w:r>
        <w:rPr/>
        <w:t>que se</w:t>
      </w:r>
      <w:r>
        <w:rPr>
          <w:spacing w:val="-12"/>
        </w:rPr>
        <w:t> </w:t>
      </w:r>
      <w:r>
        <w:rPr/>
        <w:t>presenten</w:t>
      </w:r>
      <w:r>
        <w:rPr>
          <w:spacing w:val="-10"/>
        </w:rPr>
        <w:t> </w:t>
      </w:r>
      <w:r>
        <w:rPr/>
        <w:t>al</w:t>
      </w:r>
      <w:r>
        <w:rPr>
          <w:spacing w:val="-12"/>
        </w:rPr>
        <w:t> </w:t>
      </w:r>
      <w:r>
        <w:rPr/>
        <w:t>Comité</w:t>
      </w:r>
      <w:r>
        <w:rPr>
          <w:spacing w:val="-12"/>
        </w:rPr>
        <w:t> </w:t>
      </w:r>
      <w:r>
        <w:rPr/>
        <w:t>de</w:t>
      </w:r>
      <w:r>
        <w:rPr>
          <w:spacing w:val="-10"/>
        </w:rPr>
        <w:t> </w:t>
      </w:r>
      <w:r>
        <w:rPr/>
        <w:t>Evaluación</w:t>
      </w:r>
      <w:r>
        <w:rPr>
          <w:spacing w:val="-12"/>
        </w:rPr>
        <w:t> </w:t>
      </w:r>
      <w:r>
        <w:rPr/>
        <w:t>(</w:t>
      </w:r>
      <w:r>
        <w:rPr>
          <w:i/>
        </w:rPr>
        <w:t>AC</w:t>
      </w:r>
      <w:r>
        <w:rPr>
          <w:i/>
          <w:spacing w:val="-11"/>
        </w:rPr>
        <w:t> </w:t>
      </w:r>
      <w:r>
        <w:rPr>
          <w:i/>
        </w:rPr>
        <w:t>siglas</w:t>
      </w:r>
      <w:r>
        <w:rPr>
          <w:i/>
          <w:spacing w:val="-10"/>
        </w:rPr>
        <w:t> </w:t>
      </w:r>
      <w:r>
        <w:rPr>
          <w:i/>
        </w:rPr>
        <w:t>en</w:t>
      </w:r>
      <w:r>
        <w:rPr>
          <w:i/>
          <w:spacing w:val="-10"/>
        </w:rPr>
        <w:t> </w:t>
      </w:r>
      <w:r>
        <w:rPr>
          <w:i/>
        </w:rPr>
        <w:t>inglés</w:t>
      </w:r>
      <w:r>
        <w:rPr/>
        <w:t>)</w:t>
      </w:r>
      <w:r>
        <w:rPr>
          <w:spacing w:val="-10"/>
        </w:rPr>
        <w:t> </w:t>
      </w:r>
      <w:r>
        <w:rPr/>
        <w:t>para</w:t>
      </w:r>
      <w:r>
        <w:rPr>
          <w:spacing w:val="-12"/>
        </w:rPr>
        <w:t> </w:t>
      </w:r>
      <w:r>
        <w:rPr/>
        <w:t>su</w:t>
      </w:r>
      <w:r>
        <w:rPr>
          <w:spacing w:val="-12"/>
        </w:rPr>
        <w:t> </w:t>
      </w:r>
      <w:r>
        <w:rPr/>
        <w:t>evaluación</w:t>
      </w:r>
      <w:r>
        <w:rPr>
          <w:spacing w:val="-10"/>
        </w:rPr>
        <w:t> </w:t>
      </w:r>
      <w:r>
        <w:rPr/>
        <w:t>final, y posteriormente la Ejecutiva de DIPD para su aprobación. Una vez que se ha presentado un FA, el AC evaluará el FA siguiendo la </w:t>
      </w:r>
      <w:r>
        <w:rPr>
          <w:i/>
        </w:rPr>
        <w:t>Check-List </w:t>
      </w:r>
      <w:r>
        <w:rPr/>
        <w:t>de Garantía de Calidad del Comité de Evaluación (</w:t>
      </w:r>
      <w:r>
        <w:rPr>
          <w:i/>
        </w:rPr>
        <w:t>ACQAC siglas en inglés</w:t>
      </w:r>
      <w:r>
        <w:rPr/>
        <w:t>).</w:t>
      </w:r>
    </w:p>
    <w:p>
      <w:pPr>
        <w:pStyle w:val="BodyText"/>
        <w:spacing w:line="259" w:lineRule="auto" w:before="165"/>
        <w:ind w:left="978" w:right="861" w:hanging="10"/>
        <w:jc w:val="both"/>
      </w:pPr>
      <w:r>
        <w:rPr/>
        <w:t>Todas las decisiones con respecto a la aprobación de los FA son tomadas por la Ejecutiva de DIPD. Poco después de que la Ejecutiva haya tomado una decisión con respecto al FA, el EP recibirá un mensaje de la secretaría sobre el resultado y los</w:t>
      </w:r>
      <w:r>
        <w:rPr>
          <w:spacing w:val="-10"/>
        </w:rPr>
        <w:t> </w:t>
      </w:r>
      <w:r>
        <w:rPr/>
        <w:t>siguientes</w:t>
      </w:r>
      <w:r>
        <w:rPr>
          <w:spacing w:val="-10"/>
        </w:rPr>
        <w:t> </w:t>
      </w:r>
      <w:r>
        <w:rPr/>
        <w:t>pasos</w:t>
      </w:r>
      <w:r>
        <w:rPr>
          <w:spacing w:val="-8"/>
        </w:rPr>
        <w:t> </w:t>
      </w:r>
      <w:r>
        <w:rPr/>
        <w:t>del</w:t>
      </w:r>
      <w:r>
        <w:rPr>
          <w:spacing w:val="-10"/>
        </w:rPr>
        <w:t> </w:t>
      </w:r>
      <w:r>
        <w:rPr/>
        <w:t>proceso.</w:t>
      </w:r>
      <w:r>
        <w:rPr>
          <w:spacing w:val="-12"/>
        </w:rPr>
        <w:t> </w:t>
      </w:r>
      <w:r>
        <w:rPr/>
        <w:t>Consulte</w:t>
      </w:r>
      <w:r>
        <w:rPr>
          <w:spacing w:val="-9"/>
        </w:rPr>
        <w:t> </w:t>
      </w:r>
      <w:r>
        <w:rPr/>
        <w:t>las</w:t>
      </w:r>
      <w:r>
        <w:rPr>
          <w:spacing w:val="-10"/>
        </w:rPr>
        <w:t> </w:t>
      </w:r>
      <w:r>
        <w:rPr/>
        <w:t>secciones</w:t>
      </w:r>
      <w:r>
        <w:rPr>
          <w:spacing w:val="-10"/>
        </w:rPr>
        <w:t> </w:t>
      </w:r>
      <w:r>
        <w:rPr/>
        <w:t>1.8</w:t>
      </w:r>
      <w:r>
        <w:rPr>
          <w:spacing w:val="-10"/>
        </w:rPr>
        <w:t> </w:t>
      </w:r>
      <w:r>
        <w:rPr/>
        <w:t>y</w:t>
      </w:r>
      <w:r>
        <w:rPr>
          <w:spacing w:val="-10"/>
        </w:rPr>
        <w:t> </w:t>
      </w:r>
      <w:r>
        <w:rPr/>
        <w:t>1.9</w:t>
      </w:r>
      <w:r>
        <w:rPr>
          <w:spacing w:val="-9"/>
        </w:rPr>
        <w:t> </w:t>
      </w:r>
      <w:r>
        <w:rPr/>
        <w:t>para</w:t>
      </w:r>
      <w:r>
        <w:rPr>
          <w:spacing w:val="-9"/>
        </w:rPr>
        <w:t> </w:t>
      </w:r>
      <w:r>
        <w:rPr/>
        <w:t>obtener</w:t>
      </w:r>
      <w:r>
        <w:rPr>
          <w:spacing w:val="-8"/>
        </w:rPr>
        <w:t> </w:t>
      </w:r>
      <w:r>
        <w:rPr/>
        <w:t>una descripción general del proceso de FA.</w:t>
      </w:r>
    </w:p>
    <w:p>
      <w:pPr>
        <w:spacing w:before="164"/>
        <w:ind w:left="968" w:right="0" w:firstLine="0"/>
        <w:jc w:val="both"/>
        <w:rPr>
          <w:sz w:val="20"/>
        </w:rPr>
      </w:pPr>
      <w:r>
        <w:rPr>
          <w:sz w:val="20"/>
        </w:rPr>
        <w:t>Consulte</w:t>
      </w:r>
      <w:r>
        <w:rPr>
          <w:spacing w:val="-9"/>
          <w:sz w:val="20"/>
        </w:rPr>
        <w:t> </w:t>
      </w:r>
      <w:hyperlink r:id="rId11">
        <w:r>
          <w:rPr>
            <w:b/>
            <w:color w:val="0462C1"/>
            <w:sz w:val="20"/>
            <w:u w:val="single" w:color="0462C1"/>
          </w:rPr>
          <w:t>www.dipd.dk</w:t>
        </w:r>
      </w:hyperlink>
      <w:r>
        <w:rPr>
          <w:b/>
          <w:color w:val="0462C1"/>
          <w:spacing w:val="-6"/>
          <w:sz w:val="20"/>
        </w:rPr>
        <w:t> </w:t>
      </w:r>
      <w:r>
        <w:rPr>
          <w:sz w:val="20"/>
        </w:rPr>
        <w:t>para</w:t>
      </w:r>
      <w:r>
        <w:rPr>
          <w:spacing w:val="-8"/>
          <w:sz w:val="20"/>
        </w:rPr>
        <w:t> </w:t>
      </w:r>
      <w:r>
        <w:rPr>
          <w:sz w:val="20"/>
        </w:rPr>
        <w:t>conocer</w:t>
      </w:r>
      <w:r>
        <w:rPr>
          <w:spacing w:val="-8"/>
          <w:sz w:val="20"/>
        </w:rPr>
        <w:t> </w:t>
      </w:r>
      <w:r>
        <w:rPr>
          <w:sz w:val="20"/>
        </w:rPr>
        <w:t>el</w:t>
      </w:r>
      <w:r>
        <w:rPr>
          <w:spacing w:val="-9"/>
          <w:sz w:val="20"/>
        </w:rPr>
        <w:t> </w:t>
      </w:r>
      <w:r>
        <w:rPr>
          <w:sz w:val="20"/>
        </w:rPr>
        <w:t>formato</w:t>
      </w:r>
      <w:r>
        <w:rPr>
          <w:spacing w:val="-8"/>
          <w:sz w:val="20"/>
        </w:rPr>
        <w:t> </w:t>
      </w:r>
      <w:r>
        <w:rPr>
          <w:spacing w:val="-5"/>
          <w:sz w:val="20"/>
        </w:rPr>
        <w:t>FA.</w:t>
      </w:r>
    </w:p>
    <w:p>
      <w:pPr>
        <w:pStyle w:val="BodyText"/>
      </w:pPr>
    </w:p>
    <w:p>
      <w:pPr>
        <w:pStyle w:val="BodyText"/>
        <w:spacing w:before="10"/>
        <w:rPr>
          <w:sz w:val="23"/>
        </w:rPr>
      </w:pPr>
    </w:p>
    <w:p>
      <w:pPr>
        <w:pStyle w:val="Heading2"/>
        <w:numPr>
          <w:ilvl w:val="1"/>
          <w:numId w:val="4"/>
        </w:numPr>
        <w:tabs>
          <w:tab w:pos="544" w:val="left" w:leader="none"/>
        </w:tabs>
        <w:spacing w:line="240" w:lineRule="auto" w:before="93" w:after="0"/>
        <w:ind w:left="543" w:right="0" w:hanging="428"/>
        <w:jc w:val="left"/>
      </w:pPr>
      <w:bookmarkStart w:name="_TOC_250027" w:id="6"/>
      <w:r>
        <w:rPr>
          <w:color w:val="FF0000"/>
        </w:rPr>
        <w:t>SELECCIÓN</w:t>
      </w:r>
      <w:r>
        <w:rPr>
          <w:color w:val="FF0000"/>
          <w:spacing w:val="-4"/>
        </w:rPr>
        <w:t> </w:t>
      </w:r>
      <w:r>
        <w:rPr>
          <w:color w:val="FF0000"/>
        </w:rPr>
        <w:t>DE</w:t>
      </w:r>
      <w:r>
        <w:rPr>
          <w:color w:val="FF0000"/>
          <w:spacing w:val="-4"/>
        </w:rPr>
        <w:t> </w:t>
      </w:r>
      <w:r>
        <w:rPr>
          <w:color w:val="FF0000"/>
        </w:rPr>
        <w:t>SOCIOS</w:t>
      </w:r>
      <w:r>
        <w:rPr>
          <w:color w:val="FF0000"/>
          <w:spacing w:val="-4"/>
        </w:rPr>
        <w:t> </w:t>
      </w:r>
      <w:r>
        <w:rPr>
          <w:color w:val="FF0000"/>
        </w:rPr>
        <w:t>Y</w:t>
      </w:r>
      <w:r>
        <w:rPr>
          <w:color w:val="FF0000"/>
          <w:spacing w:val="-3"/>
        </w:rPr>
        <w:t> </w:t>
      </w:r>
      <w:bookmarkEnd w:id="6"/>
      <w:r>
        <w:rPr>
          <w:color w:val="FF0000"/>
          <w:spacing w:val="-2"/>
        </w:rPr>
        <w:t>REQUISITOS</w:t>
      </w:r>
    </w:p>
    <w:p>
      <w:pPr>
        <w:pStyle w:val="BodyText"/>
        <w:spacing w:before="6"/>
        <w:rPr>
          <w:sz w:val="29"/>
        </w:rPr>
      </w:pPr>
    </w:p>
    <w:p>
      <w:pPr>
        <w:pStyle w:val="BodyText"/>
        <w:spacing w:line="268" w:lineRule="auto"/>
        <w:ind w:left="968" w:right="812"/>
      </w:pPr>
      <w:r>
        <w:rPr/>
        <w:t>Como se describe en la estrategia 20212-205, el DIPD trabaja por los partidos democráticos e inclusivos y ve a los partidos políticos como actores clave en una democracia. A través de asociaciones, DIPD, ante todo, colabora con partidos políticos</w:t>
      </w:r>
      <w:r>
        <w:rPr>
          <w:spacing w:val="-4"/>
        </w:rPr>
        <w:t> </w:t>
      </w:r>
      <w:r>
        <w:rPr/>
        <w:t>y</w:t>
      </w:r>
      <w:r>
        <w:rPr>
          <w:spacing w:val="-4"/>
        </w:rPr>
        <w:t> </w:t>
      </w:r>
      <w:r>
        <w:rPr/>
        <w:t>plataformas</w:t>
      </w:r>
      <w:r>
        <w:rPr>
          <w:spacing w:val="-3"/>
        </w:rPr>
        <w:t> </w:t>
      </w:r>
      <w:r>
        <w:rPr/>
        <w:t>multipartidistas</w:t>
      </w:r>
      <w:r>
        <w:rPr>
          <w:spacing w:val="-4"/>
        </w:rPr>
        <w:t> </w:t>
      </w:r>
      <w:r>
        <w:rPr/>
        <w:t>en</w:t>
      </w:r>
      <w:r>
        <w:rPr>
          <w:spacing w:val="-4"/>
        </w:rPr>
        <w:t> </w:t>
      </w:r>
      <w:r>
        <w:rPr/>
        <w:t>países</w:t>
      </w:r>
      <w:r>
        <w:rPr>
          <w:spacing w:val="-4"/>
        </w:rPr>
        <w:t> </w:t>
      </w:r>
      <w:r>
        <w:rPr/>
        <w:t>en</w:t>
      </w:r>
      <w:r>
        <w:rPr>
          <w:spacing w:val="-5"/>
        </w:rPr>
        <w:t> </w:t>
      </w:r>
      <w:r>
        <w:rPr/>
        <w:t>desarrollo,</w:t>
      </w:r>
      <w:r>
        <w:rPr>
          <w:spacing w:val="-4"/>
        </w:rPr>
        <w:t> </w:t>
      </w:r>
      <w:r>
        <w:rPr/>
        <w:t>pero</w:t>
      </w:r>
      <w:r>
        <w:rPr>
          <w:spacing w:val="-4"/>
        </w:rPr>
        <w:t> </w:t>
      </w:r>
      <w:r>
        <w:rPr/>
        <w:t>DIPD</w:t>
      </w:r>
      <w:r>
        <w:rPr>
          <w:spacing w:val="-5"/>
        </w:rPr>
        <w:t> </w:t>
      </w:r>
      <w:r>
        <w:rPr/>
        <w:t>también apoya a terceros actores que puedan brindar apoyo crítico para que los partidos políticos o las iniciativas multipartidistas se desempeñen mejor.</w:t>
      </w:r>
    </w:p>
    <w:p>
      <w:pPr>
        <w:pStyle w:val="BodyText"/>
        <w:spacing w:line="268" w:lineRule="auto" w:before="22"/>
        <w:ind w:left="968" w:right="905"/>
      </w:pPr>
      <w:r>
        <w:rPr/>
        <w:t>Al</w:t>
      </w:r>
      <w:r>
        <w:rPr>
          <w:spacing w:val="-4"/>
        </w:rPr>
        <w:t> </w:t>
      </w:r>
      <w:r>
        <w:rPr/>
        <w:t>evaluar</w:t>
      </w:r>
      <w:r>
        <w:rPr>
          <w:spacing w:val="-5"/>
        </w:rPr>
        <w:t> </w:t>
      </w:r>
      <w:r>
        <w:rPr/>
        <w:t>países</w:t>
      </w:r>
      <w:r>
        <w:rPr>
          <w:spacing w:val="-4"/>
        </w:rPr>
        <w:t> </w:t>
      </w:r>
      <w:r>
        <w:rPr/>
        <w:t>y</w:t>
      </w:r>
      <w:r>
        <w:rPr>
          <w:spacing w:val="-4"/>
        </w:rPr>
        <w:t> </w:t>
      </w:r>
      <w:r>
        <w:rPr/>
        <w:t>socios,</w:t>
      </w:r>
      <w:r>
        <w:rPr>
          <w:spacing w:val="-3"/>
        </w:rPr>
        <w:t> </w:t>
      </w:r>
      <w:r>
        <w:rPr/>
        <w:t>DIPD</w:t>
      </w:r>
      <w:r>
        <w:rPr>
          <w:spacing w:val="-5"/>
        </w:rPr>
        <w:t> </w:t>
      </w:r>
      <w:r>
        <w:rPr/>
        <w:t>se</w:t>
      </w:r>
      <w:r>
        <w:rPr>
          <w:spacing w:val="-3"/>
        </w:rPr>
        <w:t> </w:t>
      </w:r>
      <w:r>
        <w:rPr/>
        <w:t>basa</w:t>
      </w:r>
      <w:r>
        <w:rPr>
          <w:spacing w:val="-3"/>
        </w:rPr>
        <w:t> </w:t>
      </w:r>
      <w:r>
        <w:rPr/>
        <w:t>en</w:t>
      </w:r>
      <w:r>
        <w:rPr>
          <w:spacing w:val="-4"/>
        </w:rPr>
        <w:t> </w:t>
      </w:r>
      <w:r>
        <w:rPr/>
        <w:t>los</w:t>
      </w:r>
      <w:r>
        <w:rPr>
          <w:spacing w:val="-4"/>
        </w:rPr>
        <w:t> </w:t>
      </w:r>
      <w:r>
        <w:rPr/>
        <w:t>criterios</w:t>
      </w:r>
      <w:r>
        <w:rPr>
          <w:spacing w:val="-4"/>
        </w:rPr>
        <w:t> </w:t>
      </w:r>
      <w:r>
        <w:rPr/>
        <w:t>elaborados</w:t>
      </w:r>
      <w:r>
        <w:rPr>
          <w:spacing w:val="-4"/>
        </w:rPr>
        <w:t> </w:t>
      </w:r>
      <w:r>
        <w:rPr/>
        <w:t>en</w:t>
      </w:r>
      <w:r>
        <w:rPr>
          <w:spacing w:val="-3"/>
        </w:rPr>
        <w:t> </w:t>
      </w:r>
      <w:r>
        <w:rPr/>
        <w:t>las Directrices de DIPD y el formato FA:</w:t>
      </w:r>
    </w:p>
    <w:p>
      <w:pPr>
        <w:pStyle w:val="BodyText"/>
        <w:spacing w:line="268" w:lineRule="auto" w:before="25"/>
        <w:ind w:left="1688" w:right="905" w:hanging="360"/>
      </w:pPr>
      <w:r>
        <w:rPr/>
        <w:t>→</w:t>
      </w:r>
      <w:r>
        <w:rPr>
          <w:spacing w:val="-5"/>
        </w:rPr>
        <w:t> </w:t>
      </w:r>
      <w:r>
        <w:rPr/>
        <w:t>Todos</w:t>
      </w:r>
      <w:r>
        <w:rPr>
          <w:spacing w:val="-2"/>
        </w:rPr>
        <w:t> </w:t>
      </w:r>
      <w:r>
        <w:rPr/>
        <w:t>los</w:t>
      </w:r>
      <w:r>
        <w:rPr>
          <w:spacing w:val="-4"/>
        </w:rPr>
        <w:t> </w:t>
      </w:r>
      <w:r>
        <w:rPr/>
        <w:t>países</w:t>
      </w:r>
      <w:r>
        <w:rPr>
          <w:spacing w:val="-4"/>
        </w:rPr>
        <w:t> </w:t>
      </w:r>
      <w:r>
        <w:rPr/>
        <w:t>de</w:t>
      </w:r>
      <w:r>
        <w:rPr>
          <w:spacing w:val="-3"/>
        </w:rPr>
        <w:t> </w:t>
      </w:r>
      <w:r>
        <w:rPr/>
        <w:t>la</w:t>
      </w:r>
      <w:r>
        <w:rPr>
          <w:spacing w:val="-2"/>
        </w:rPr>
        <w:t> </w:t>
      </w:r>
      <w:r>
        <w:rPr>
          <w:b/>
        </w:rPr>
        <w:t>lista</w:t>
      </w:r>
      <w:r>
        <w:rPr>
          <w:b/>
          <w:spacing w:val="-5"/>
        </w:rPr>
        <w:t> </w:t>
      </w:r>
      <w:r>
        <w:rPr>
          <w:b/>
        </w:rPr>
        <w:t>OCDE-CAD</w:t>
      </w:r>
      <w:r>
        <w:rPr>
          <w:b/>
          <w:spacing w:val="-4"/>
        </w:rPr>
        <w:t> </w:t>
      </w:r>
      <w:r>
        <w:rPr/>
        <w:t>(las</w:t>
      </w:r>
      <w:r>
        <w:rPr>
          <w:spacing w:val="-4"/>
        </w:rPr>
        <w:t> </w:t>
      </w:r>
      <w:r>
        <w:rPr/>
        <w:t>cuatro</w:t>
      </w:r>
      <w:r>
        <w:rPr>
          <w:spacing w:val="-3"/>
        </w:rPr>
        <w:t> </w:t>
      </w:r>
      <w:r>
        <w:rPr/>
        <w:t>categorías</w:t>
      </w:r>
      <w:r>
        <w:rPr>
          <w:spacing w:val="-4"/>
        </w:rPr>
        <w:t> </w:t>
      </w:r>
      <w:r>
        <w:rPr/>
        <w:t>de</w:t>
      </w:r>
      <w:r>
        <w:rPr>
          <w:spacing w:val="-4"/>
        </w:rPr>
        <w:t> </w:t>
      </w:r>
      <w:r>
        <w:rPr/>
        <w:t>países) pueden ser elegidos para las asociaciones DIPD.</w:t>
      </w:r>
    </w:p>
    <w:p>
      <w:pPr>
        <w:pStyle w:val="BodyText"/>
        <w:spacing w:line="268" w:lineRule="auto" w:before="25"/>
        <w:ind w:left="1688" w:right="905" w:hanging="360"/>
      </w:pPr>
      <w:r>
        <w:rPr/>
        <w:t>→</w:t>
      </w:r>
      <w:r>
        <w:rPr>
          <w:spacing w:val="-5"/>
        </w:rPr>
        <w:t> </w:t>
      </w:r>
      <w:r>
        <w:rPr/>
        <w:t>Se</w:t>
      </w:r>
      <w:r>
        <w:rPr>
          <w:spacing w:val="-3"/>
        </w:rPr>
        <w:t> </w:t>
      </w:r>
      <w:r>
        <w:rPr/>
        <w:t>deben</w:t>
      </w:r>
      <w:r>
        <w:rPr>
          <w:spacing w:val="-3"/>
        </w:rPr>
        <w:t> </w:t>
      </w:r>
      <w:r>
        <w:rPr/>
        <w:t>buscar</w:t>
      </w:r>
      <w:r>
        <w:rPr>
          <w:spacing w:val="-5"/>
        </w:rPr>
        <w:t> </w:t>
      </w:r>
      <w:r>
        <w:rPr/>
        <w:t>oportunidades</w:t>
      </w:r>
      <w:r>
        <w:rPr>
          <w:spacing w:val="-4"/>
        </w:rPr>
        <w:t> </w:t>
      </w:r>
      <w:r>
        <w:rPr/>
        <w:t>de</w:t>
      </w:r>
      <w:r>
        <w:rPr>
          <w:spacing w:val="-2"/>
        </w:rPr>
        <w:t> </w:t>
      </w:r>
      <w:r>
        <w:rPr>
          <w:b/>
        </w:rPr>
        <w:t>sinergias</w:t>
      </w:r>
      <w:r>
        <w:rPr>
          <w:b/>
          <w:spacing w:val="-5"/>
        </w:rPr>
        <w:t> </w:t>
      </w:r>
      <w:r>
        <w:rPr/>
        <w:t>entre</w:t>
      </w:r>
      <w:r>
        <w:rPr>
          <w:spacing w:val="-3"/>
        </w:rPr>
        <w:t> </w:t>
      </w:r>
      <w:r>
        <w:rPr/>
        <w:t>las</w:t>
      </w:r>
      <w:r>
        <w:rPr>
          <w:spacing w:val="-4"/>
        </w:rPr>
        <w:t> </w:t>
      </w:r>
      <w:r>
        <w:rPr/>
        <w:t>alianzas</w:t>
      </w:r>
      <w:r>
        <w:rPr>
          <w:spacing w:val="-4"/>
        </w:rPr>
        <w:t> </w:t>
      </w:r>
      <w:r>
        <w:rPr/>
        <w:t>de</w:t>
      </w:r>
      <w:r>
        <w:rPr>
          <w:spacing w:val="-3"/>
        </w:rPr>
        <w:t> </w:t>
      </w:r>
      <w:r>
        <w:rPr/>
        <w:t>partidos y las alianzas multipartitas y las sinergias con otras intervenciones danesas para obtener mejores resultados.</w:t>
      </w:r>
    </w:p>
    <w:p>
      <w:pPr>
        <w:pStyle w:val="BodyText"/>
        <w:spacing w:line="268" w:lineRule="auto" w:before="24"/>
        <w:ind w:left="1688" w:right="739" w:hanging="360"/>
      </w:pPr>
      <w:r>
        <w:rPr/>
        <w:t>→</w:t>
      </w:r>
      <w:r>
        <w:rPr>
          <w:spacing w:val="-5"/>
        </w:rPr>
        <w:t> </w:t>
      </w:r>
      <w:r>
        <w:rPr>
          <w:b/>
        </w:rPr>
        <w:t>Condiciones</w:t>
      </w:r>
      <w:r>
        <w:rPr>
          <w:b/>
          <w:spacing w:val="-3"/>
        </w:rPr>
        <w:t> </w:t>
      </w:r>
      <w:r>
        <w:rPr/>
        <w:t>para</w:t>
      </w:r>
      <w:r>
        <w:rPr>
          <w:spacing w:val="-5"/>
        </w:rPr>
        <w:t> </w:t>
      </w:r>
      <w:r>
        <w:rPr/>
        <w:t>apoyar</w:t>
      </w:r>
      <w:r>
        <w:rPr>
          <w:spacing w:val="-5"/>
        </w:rPr>
        <w:t> </w:t>
      </w:r>
      <w:r>
        <w:rPr/>
        <w:t>la</w:t>
      </w:r>
      <w:r>
        <w:rPr>
          <w:spacing w:val="-3"/>
        </w:rPr>
        <w:t> </w:t>
      </w:r>
      <w:r>
        <w:rPr/>
        <w:t>democratización</w:t>
      </w:r>
      <w:r>
        <w:rPr>
          <w:spacing w:val="-6"/>
        </w:rPr>
        <w:t> </w:t>
      </w:r>
      <w:r>
        <w:rPr/>
        <w:t>y</w:t>
      </w:r>
      <w:r>
        <w:rPr>
          <w:spacing w:val="-2"/>
        </w:rPr>
        <w:t> </w:t>
      </w:r>
      <w:r>
        <w:rPr/>
        <w:t>los</w:t>
      </w:r>
      <w:r>
        <w:rPr>
          <w:spacing w:val="-2"/>
        </w:rPr>
        <w:t> </w:t>
      </w:r>
      <w:r>
        <w:rPr/>
        <w:t>partidos</w:t>
      </w:r>
      <w:r>
        <w:rPr>
          <w:spacing w:val="-4"/>
        </w:rPr>
        <w:t> </w:t>
      </w:r>
      <w:r>
        <w:rPr/>
        <w:t>políticos,</w:t>
      </w:r>
      <w:r>
        <w:rPr>
          <w:spacing w:val="-5"/>
        </w:rPr>
        <w:t> </w:t>
      </w:r>
      <w:r>
        <w:rPr/>
        <w:t>y</w:t>
      </w:r>
      <w:r>
        <w:rPr>
          <w:spacing w:val="-4"/>
        </w:rPr>
        <w:t> </w:t>
      </w:r>
      <w:r>
        <w:rPr/>
        <w:t>para obtener resultados acordes con los objetivos estratégicos del DIPD.</w:t>
      </w:r>
    </w:p>
    <w:p>
      <w:pPr>
        <w:pStyle w:val="BodyText"/>
        <w:spacing w:before="7"/>
        <w:rPr>
          <w:sz w:val="26"/>
        </w:rPr>
      </w:pPr>
    </w:p>
    <w:p>
      <w:pPr>
        <w:pStyle w:val="BodyText"/>
        <w:spacing w:line="268" w:lineRule="auto"/>
        <w:ind w:left="1688" w:right="739" w:hanging="360"/>
      </w:pPr>
      <w:r>
        <w:rPr/>
        <w:t>También</w:t>
      </w:r>
      <w:r>
        <w:rPr>
          <w:spacing w:val="-7"/>
        </w:rPr>
        <w:t> </w:t>
      </w:r>
      <w:r>
        <w:rPr/>
        <w:t>se</w:t>
      </w:r>
      <w:r>
        <w:rPr>
          <w:spacing w:val="-4"/>
        </w:rPr>
        <w:t> </w:t>
      </w:r>
      <w:r>
        <w:rPr/>
        <w:t>recomienda</w:t>
      </w:r>
      <w:r>
        <w:rPr>
          <w:spacing w:val="-5"/>
        </w:rPr>
        <w:t> </w:t>
      </w:r>
      <w:r>
        <w:rPr/>
        <w:t>encarecidamente</w:t>
      </w:r>
      <w:r>
        <w:rPr>
          <w:spacing w:val="-6"/>
        </w:rPr>
        <w:t> </w:t>
      </w:r>
      <w:r>
        <w:rPr/>
        <w:t>a</w:t>
      </w:r>
      <w:r>
        <w:rPr>
          <w:spacing w:val="-5"/>
        </w:rPr>
        <w:t> </w:t>
      </w:r>
      <w:r>
        <w:rPr/>
        <w:t>los</w:t>
      </w:r>
      <w:r>
        <w:rPr>
          <w:spacing w:val="-5"/>
        </w:rPr>
        <w:t> </w:t>
      </w:r>
      <w:r>
        <w:rPr/>
        <w:t>partidos</w:t>
      </w:r>
      <w:r>
        <w:rPr>
          <w:spacing w:val="-5"/>
        </w:rPr>
        <w:t> </w:t>
      </w:r>
      <w:r>
        <w:rPr/>
        <w:t>políticos</w:t>
      </w:r>
      <w:r>
        <w:rPr>
          <w:spacing w:val="-5"/>
        </w:rPr>
        <w:t> </w:t>
      </w:r>
      <w:r>
        <w:rPr/>
        <w:t>que ingresan en los FA con DIPD que lleven a cabo un análisis detallado sobre:</w:t>
      </w:r>
    </w:p>
    <w:p>
      <w:pPr>
        <w:pStyle w:val="BodyText"/>
        <w:spacing w:line="268" w:lineRule="auto" w:before="25"/>
        <w:ind w:left="1688" w:right="812" w:hanging="360"/>
      </w:pPr>
      <w:r>
        <w:rPr/>
        <w:t>→</w:t>
      </w:r>
      <w:r>
        <w:rPr>
          <w:spacing w:val="-4"/>
        </w:rPr>
        <w:t> </w:t>
      </w:r>
      <w:r>
        <w:rPr/>
        <w:t>La</w:t>
      </w:r>
      <w:r>
        <w:rPr>
          <w:spacing w:val="-5"/>
        </w:rPr>
        <w:t> </w:t>
      </w:r>
      <w:r>
        <w:rPr/>
        <w:t>situación</w:t>
      </w:r>
      <w:r>
        <w:rPr>
          <w:spacing w:val="-3"/>
        </w:rPr>
        <w:t> </w:t>
      </w:r>
      <w:r>
        <w:rPr/>
        <w:t>política</w:t>
      </w:r>
      <w:r>
        <w:rPr>
          <w:spacing w:val="-2"/>
        </w:rPr>
        <w:t> </w:t>
      </w:r>
      <w:r>
        <w:rPr/>
        <w:t>en</w:t>
      </w:r>
      <w:r>
        <w:rPr>
          <w:spacing w:val="-3"/>
        </w:rPr>
        <w:t> </w:t>
      </w:r>
      <w:r>
        <w:rPr/>
        <w:t>el</w:t>
      </w:r>
      <w:r>
        <w:rPr>
          <w:spacing w:val="-5"/>
        </w:rPr>
        <w:t> </w:t>
      </w:r>
      <w:r>
        <w:rPr/>
        <w:t>país</w:t>
      </w:r>
      <w:r>
        <w:rPr>
          <w:spacing w:val="-3"/>
        </w:rPr>
        <w:t> </w:t>
      </w:r>
      <w:r>
        <w:rPr/>
        <w:t>socio,</w:t>
      </w:r>
      <w:r>
        <w:rPr>
          <w:spacing w:val="-2"/>
        </w:rPr>
        <w:t> </w:t>
      </w:r>
      <w:r>
        <w:rPr/>
        <w:t>incluido</w:t>
      </w:r>
      <w:r>
        <w:rPr>
          <w:spacing w:val="-3"/>
        </w:rPr>
        <w:t> </w:t>
      </w:r>
      <w:r>
        <w:rPr/>
        <w:t>el</w:t>
      </w:r>
      <w:r>
        <w:rPr>
          <w:spacing w:val="-5"/>
        </w:rPr>
        <w:t> </w:t>
      </w:r>
      <w:r>
        <w:rPr/>
        <w:t>sistema</w:t>
      </w:r>
      <w:r>
        <w:rPr>
          <w:spacing w:val="-2"/>
        </w:rPr>
        <w:t> </w:t>
      </w:r>
      <w:r>
        <w:rPr/>
        <w:t>de</w:t>
      </w:r>
      <w:r>
        <w:rPr>
          <w:spacing w:val="-3"/>
        </w:rPr>
        <w:t> </w:t>
      </w:r>
      <w:r>
        <w:rPr/>
        <w:t>partidos</w:t>
      </w:r>
      <w:r>
        <w:rPr>
          <w:spacing w:val="-3"/>
        </w:rPr>
        <w:t> </w:t>
      </w:r>
      <w:r>
        <w:rPr/>
        <w:t>y</w:t>
      </w:r>
      <w:r>
        <w:rPr>
          <w:spacing w:val="-3"/>
        </w:rPr>
        <w:t> </w:t>
      </w:r>
      <w:r>
        <w:rPr/>
        <w:t>la evolución política entre partidos.</w:t>
      </w:r>
    </w:p>
    <w:p>
      <w:pPr>
        <w:pStyle w:val="BodyText"/>
        <w:spacing w:line="268" w:lineRule="auto" w:before="25"/>
        <w:ind w:left="1688" w:hanging="360"/>
      </w:pPr>
      <w:r>
        <w:rPr/>
        <w:pict>
          <v:line style="position:absolute;mso-position-horizontal-relative:page;mso-position-vertical-relative:paragraph;z-index:15736320" from="345.899994pt,63.269886pt" to="483.549994pt,63.269886pt" stroked="true" strokeweight=".96pt" strokecolor="#000000">
            <v:stroke dashstyle="shortdot"/>
            <w10:wrap type="none"/>
          </v:line>
        </w:pict>
      </w:r>
      <w:r>
        <w:rPr/>
        <w:t>→</w:t>
      </w:r>
      <w:r>
        <w:rPr>
          <w:spacing w:val="-4"/>
        </w:rPr>
        <w:t> </w:t>
      </w:r>
      <w:r>
        <w:rPr/>
        <w:t>La</w:t>
      </w:r>
      <w:r>
        <w:rPr>
          <w:spacing w:val="-5"/>
        </w:rPr>
        <w:t> </w:t>
      </w:r>
      <w:r>
        <w:rPr/>
        <w:t>relevancia</w:t>
      </w:r>
      <w:r>
        <w:rPr>
          <w:spacing w:val="-2"/>
        </w:rPr>
        <w:t> </w:t>
      </w:r>
      <w:r>
        <w:rPr/>
        <w:t>de</w:t>
      </w:r>
      <w:r>
        <w:rPr>
          <w:spacing w:val="-3"/>
        </w:rPr>
        <w:t> </w:t>
      </w:r>
      <w:r>
        <w:rPr/>
        <w:t>la</w:t>
      </w:r>
      <w:r>
        <w:rPr>
          <w:spacing w:val="-2"/>
        </w:rPr>
        <w:t> </w:t>
      </w:r>
      <w:r>
        <w:rPr/>
        <w:t>alianza,</w:t>
      </w:r>
      <w:r>
        <w:rPr>
          <w:spacing w:val="-5"/>
        </w:rPr>
        <w:t> </w:t>
      </w:r>
      <w:r>
        <w:rPr/>
        <w:t>tanto</w:t>
      </w:r>
      <w:r>
        <w:rPr>
          <w:spacing w:val="-4"/>
        </w:rPr>
        <w:t> </w:t>
      </w:r>
      <w:r>
        <w:rPr/>
        <w:t>para</w:t>
      </w:r>
      <w:r>
        <w:rPr>
          <w:spacing w:val="-4"/>
        </w:rPr>
        <w:t> </w:t>
      </w:r>
      <w:r>
        <w:rPr/>
        <w:t>la</w:t>
      </w:r>
      <w:r>
        <w:rPr>
          <w:spacing w:val="-4"/>
        </w:rPr>
        <w:t> </w:t>
      </w:r>
      <w:r>
        <w:rPr/>
        <w:t>organización</w:t>
      </w:r>
      <w:r>
        <w:rPr>
          <w:spacing w:val="-5"/>
        </w:rPr>
        <w:t> </w:t>
      </w:r>
      <w:r>
        <w:rPr/>
        <w:t>socia</w:t>
      </w:r>
      <w:r>
        <w:rPr>
          <w:spacing w:val="-2"/>
        </w:rPr>
        <w:t> </w:t>
      </w:r>
      <w:r>
        <w:rPr/>
        <w:t>como</w:t>
      </w:r>
      <w:r>
        <w:rPr>
          <w:spacing w:val="-2"/>
        </w:rPr>
        <w:t> </w:t>
      </w:r>
      <w:r>
        <w:rPr/>
        <w:t>para</w:t>
      </w:r>
      <w:r>
        <w:rPr>
          <w:spacing w:val="-2"/>
        </w:rPr>
        <w:t> </w:t>
      </w:r>
      <w:r>
        <w:rPr/>
        <w:t>el cumplimiento de la estrategia de DIPD.</w:t>
      </w:r>
    </w:p>
    <w:p>
      <w:pPr>
        <w:spacing w:after="0" w:line="268" w:lineRule="auto"/>
        <w:sectPr>
          <w:pgSz w:w="11910" w:h="16850"/>
          <w:pgMar w:header="718" w:footer="843" w:top="940" w:bottom="1040" w:left="1300" w:right="1400"/>
        </w:sectPr>
      </w:pPr>
    </w:p>
    <w:p>
      <w:pPr>
        <w:pStyle w:val="BodyText"/>
      </w:pPr>
    </w:p>
    <w:p>
      <w:pPr>
        <w:pStyle w:val="BodyText"/>
      </w:pPr>
    </w:p>
    <w:p>
      <w:pPr>
        <w:pStyle w:val="BodyText"/>
      </w:pPr>
    </w:p>
    <w:p>
      <w:pPr>
        <w:pStyle w:val="BodyText"/>
        <w:spacing w:before="9"/>
        <w:rPr>
          <w:sz w:val="25"/>
        </w:rPr>
      </w:pPr>
    </w:p>
    <w:p>
      <w:pPr>
        <w:spacing w:line="268" w:lineRule="auto" w:before="93"/>
        <w:ind w:left="1179" w:right="916" w:hanging="12"/>
        <w:jc w:val="both"/>
        <w:rPr>
          <w:sz w:val="20"/>
        </w:rPr>
      </w:pPr>
      <w:r>
        <w:rPr>
          <w:sz w:val="20"/>
        </w:rPr>
        <w:t>→ El </w:t>
      </w:r>
      <w:r>
        <w:rPr>
          <w:b/>
          <w:sz w:val="20"/>
        </w:rPr>
        <w:t>pronóstico a corto plazo y / o la sostenibilidad a largo plazo </w:t>
      </w:r>
      <w:r>
        <w:rPr>
          <w:sz w:val="20"/>
        </w:rPr>
        <w:t>de la </w:t>
      </w:r>
      <w:r>
        <w:rPr>
          <w:spacing w:val="-2"/>
          <w:sz w:val="20"/>
        </w:rPr>
        <w:t>asociación.</w:t>
      </w:r>
    </w:p>
    <w:p>
      <w:pPr>
        <w:spacing w:before="128"/>
        <w:ind w:left="1167" w:right="0" w:firstLine="0"/>
        <w:jc w:val="both"/>
        <w:rPr>
          <w:sz w:val="20"/>
        </w:rPr>
      </w:pPr>
      <w:r>
        <w:rPr>
          <w:sz w:val="20"/>
        </w:rPr>
        <w:t>→</w:t>
      </w:r>
      <w:r>
        <w:rPr>
          <w:spacing w:val="-7"/>
          <w:sz w:val="20"/>
        </w:rPr>
        <w:t> </w:t>
      </w:r>
      <w:r>
        <w:rPr>
          <w:b/>
          <w:sz w:val="20"/>
        </w:rPr>
        <w:t>Actividades</w:t>
      </w:r>
      <w:r>
        <w:rPr>
          <w:b/>
          <w:spacing w:val="-5"/>
          <w:sz w:val="20"/>
        </w:rPr>
        <w:t> </w:t>
      </w:r>
      <w:r>
        <w:rPr>
          <w:b/>
          <w:sz w:val="20"/>
        </w:rPr>
        <w:t>relacionadas</w:t>
      </w:r>
      <w:r>
        <w:rPr>
          <w:b/>
          <w:spacing w:val="-8"/>
          <w:sz w:val="20"/>
        </w:rPr>
        <w:t> </w:t>
      </w:r>
      <w:r>
        <w:rPr>
          <w:b/>
          <w:sz w:val="20"/>
        </w:rPr>
        <w:t>de</w:t>
      </w:r>
      <w:r>
        <w:rPr>
          <w:b/>
          <w:spacing w:val="-7"/>
          <w:sz w:val="20"/>
        </w:rPr>
        <w:t> </w:t>
      </w:r>
      <w:r>
        <w:rPr>
          <w:b/>
          <w:sz w:val="20"/>
        </w:rPr>
        <w:t>otros</w:t>
      </w:r>
      <w:r>
        <w:rPr>
          <w:b/>
          <w:spacing w:val="-7"/>
          <w:sz w:val="20"/>
        </w:rPr>
        <w:t> </w:t>
      </w:r>
      <w:r>
        <w:rPr>
          <w:b/>
          <w:sz w:val="20"/>
        </w:rPr>
        <w:t>grupos</w:t>
      </w:r>
      <w:r>
        <w:rPr>
          <w:b/>
          <w:spacing w:val="-7"/>
          <w:sz w:val="20"/>
        </w:rPr>
        <w:t> </w:t>
      </w:r>
      <w:r>
        <w:rPr>
          <w:b/>
          <w:sz w:val="20"/>
        </w:rPr>
        <w:t>de</w:t>
      </w:r>
      <w:r>
        <w:rPr>
          <w:b/>
          <w:spacing w:val="-6"/>
          <w:sz w:val="20"/>
        </w:rPr>
        <w:t> </w:t>
      </w:r>
      <w:r>
        <w:rPr>
          <w:b/>
          <w:spacing w:val="-2"/>
          <w:sz w:val="20"/>
        </w:rPr>
        <w:t>interés</w:t>
      </w:r>
      <w:r>
        <w:rPr>
          <w:spacing w:val="-2"/>
          <w:sz w:val="20"/>
        </w:rPr>
        <w:t>.</w:t>
      </w:r>
    </w:p>
    <w:p>
      <w:pPr>
        <w:pStyle w:val="BodyText"/>
        <w:spacing w:line="271" w:lineRule="auto" w:before="154"/>
        <w:ind w:left="1179" w:right="917" w:hanging="12"/>
        <w:jc w:val="both"/>
      </w:pPr>
      <w:r>
        <w:rPr/>
        <w:t>Tenga en cuenta que, en circunstancias normales, el socio no puede ser un individuo o una empresa privada. La Ejecutiva de DIPD puede hacer </w:t>
      </w:r>
      <w:r>
        <w:rPr>
          <w:spacing w:val="-2"/>
        </w:rPr>
        <w:t>excepciones.</w:t>
      </w:r>
    </w:p>
    <w:p>
      <w:pPr>
        <w:pStyle w:val="BodyText"/>
        <w:spacing w:line="271" w:lineRule="auto" w:before="123"/>
        <w:ind w:left="1179" w:right="928" w:hanging="12"/>
        <w:jc w:val="both"/>
      </w:pPr>
      <w:r>
        <w:rPr/>
        <w:t>Las organizaciones registradas en la lista de organizaciones terroristas de la ONU o la UE no son elegibles para recibir financiación.</w:t>
      </w:r>
    </w:p>
    <w:p>
      <w:pPr>
        <w:pStyle w:val="BodyText"/>
        <w:spacing w:line="268" w:lineRule="auto" w:before="124"/>
        <w:ind w:left="1179" w:right="924" w:hanging="12"/>
        <w:jc w:val="both"/>
      </w:pPr>
      <w:r>
        <w:rPr/>
        <w:t>Finalmente, el partido danés debe asegurarse de que el socio tiene o de que el socio</w:t>
      </w:r>
      <w:r>
        <w:rPr>
          <w:spacing w:val="-8"/>
        </w:rPr>
        <w:t> </w:t>
      </w:r>
      <w:r>
        <w:rPr/>
        <w:t>podrá</w:t>
      </w:r>
      <w:r>
        <w:rPr>
          <w:spacing w:val="-8"/>
        </w:rPr>
        <w:t> </w:t>
      </w:r>
      <w:r>
        <w:rPr/>
        <w:t>desarrollar</w:t>
      </w:r>
      <w:r>
        <w:rPr>
          <w:spacing w:val="-8"/>
        </w:rPr>
        <w:t> </w:t>
      </w:r>
      <w:r>
        <w:rPr/>
        <w:t>la</w:t>
      </w:r>
      <w:r>
        <w:rPr>
          <w:spacing w:val="-8"/>
        </w:rPr>
        <w:t> </w:t>
      </w:r>
      <w:r>
        <w:rPr/>
        <w:t>capacidad</w:t>
      </w:r>
      <w:r>
        <w:rPr>
          <w:spacing w:val="-8"/>
        </w:rPr>
        <w:t> </w:t>
      </w:r>
      <w:r>
        <w:rPr/>
        <w:t>administrativa</w:t>
      </w:r>
      <w:r>
        <w:rPr>
          <w:spacing w:val="-8"/>
        </w:rPr>
        <w:t> </w:t>
      </w:r>
      <w:r>
        <w:rPr/>
        <w:t>necesaria</w:t>
      </w:r>
      <w:r>
        <w:rPr>
          <w:spacing w:val="-8"/>
        </w:rPr>
        <w:t> </w:t>
      </w:r>
      <w:r>
        <w:rPr/>
        <w:t>para</w:t>
      </w:r>
      <w:r>
        <w:rPr>
          <w:spacing w:val="-8"/>
        </w:rPr>
        <w:t> </w:t>
      </w:r>
      <w:r>
        <w:rPr/>
        <w:t>administrar</w:t>
      </w:r>
      <w:r>
        <w:rPr>
          <w:spacing w:val="-8"/>
        </w:rPr>
        <w:t> </w:t>
      </w:r>
      <w:r>
        <w:rPr/>
        <w:t>la subvención de democracia otorgada de manera responsable y adecuada. Vea más en la parte 2 de estas pautas (Administración de subvenciones DIPD).</w:t>
      </w:r>
    </w:p>
    <w:p>
      <w:pPr>
        <w:pStyle w:val="BodyText"/>
        <w:rPr>
          <w:sz w:val="22"/>
        </w:rPr>
      </w:pPr>
    </w:p>
    <w:p>
      <w:pPr>
        <w:pStyle w:val="Heading2"/>
        <w:numPr>
          <w:ilvl w:val="1"/>
          <w:numId w:val="4"/>
        </w:numPr>
        <w:tabs>
          <w:tab w:pos="855" w:val="left" w:leader="none"/>
          <w:tab w:pos="856" w:val="left" w:leader="none"/>
        </w:tabs>
        <w:spacing w:line="240" w:lineRule="auto" w:before="163" w:after="0"/>
        <w:ind w:left="855" w:right="0" w:hanging="754"/>
        <w:jc w:val="left"/>
      </w:pPr>
      <w:bookmarkStart w:name="_TOC_250026" w:id="7"/>
      <w:r>
        <w:rPr>
          <w:color w:val="FF0000"/>
        </w:rPr>
        <w:t>ENFOQUE</w:t>
      </w:r>
      <w:r>
        <w:rPr>
          <w:color w:val="FF0000"/>
          <w:spacing w:val="-6"/>
        </w:rPr>
        <w:t> </w:t>
      </w:r>
      <w:r>
        <w:rPr>
          <w:color w:val="FF0000"/>
        </w:rPr>
        <w:t>DE</w:t>
      </w:r>
      <w:r>
        <w:rPr>
          <w:color w:val="FF0000"/>
          <w:spacing w:val="-4"/>
        </w:rPr>
        <w:t> </w:t>
      </w:r>
      <w:r>
        <w:rPr>
          <w:color w:val="FF0000"/>
        </w:rPr>
        <w:t>ASOCIACIÓN</w:t>
      </w:r>
      <w:r>
        <w:rPr>
          <w:color w:val="FF0000"/>
          <w:spacing w:val="-4"/>
        </w:rPr>
        <w:t> </w:t>
      </w:r>
      <w:r>
        <w:rPr>
          <w:color w:val="FF0000"/>
        </w:rPr>
        <w:t>DE</w:t>
      </w:r>
      <w:r>
        <w:rPr>
          <w:color w:val="FF0000"/>
          <w:spacing w:val="-3"/>
        </w:rPr>
        <w:t> </w:t>
      </w:r>
      <w:bookmarkEnd w:id="7"/>
      <w:r>
        <w:rPr>
          <w:color w:val="FF0000"/>
          <w:spacing w:val="-4"/>
        </w:rPr>
        <w:t>DIPD</w:t>
      </w:r>
    </w:p>
    <w:p>
      <w:pPr>
        <w:pStyle w:val="BodyText"/>
        <w:spacing w:line="271" w:lineRule="auto" w:before="183"/>
        <w:ind w:left="978" w:right="919" w:hanging="10"/>
        <w:jc w:val="both"/>
      </w:pPr>
      <w:r>
        <w:rPr/>
        <w:t>El</w:t>
      </w:r>
      <w:r>
        <w:rPr>
          <w:spacing w:val="-12"/>
        </w:rPr>
        <w:t> </w:t>
      </w:r>
      <w:r>
        <w:rPr/>
        <w:t>trabajo</w:t>
      </w:r>
      <w:r>
        <w:rPr>
          <w:spacing w:val="-12"/>
        </w:rPr>
        <w:t> </w:t>
      </w:r>
      <w:r>
        <w:rPr/>
        <w:t>de</w:t>
      </w:r>
      <w:r>
        <w:rPr>
          <w:spacing w:val="-12"/>
        </w:rPr>
        <w:t> </w:t>
      </w:r>
      <w:r>
        <w:rPr/>
        <w:t>DIPD</w:t>
      </w:r>
      <w:r>
        <w:rPr>
          <w:spacing w:val="-13"/>
        </w:rPr>
        <w:t> </w:t>
      </w:r>
      <w:r>
        <w:rPr/>
        <w:t>se</w:t>
      </w:r>
      <w:r>
        <w:rPr>
          <w:spacing w:val="-14"/>
        </w:rPr>
        <w:t> </w:t>
      </w:r>
      <w:r>
        <w:rPr/>
        <w:t>basa</w:t>
      </w:r>
      <w:r>
        <w:rPr>
          <w:spacing w:val="-12"/>
        </w:rPr>
        <w:t> </w:t>
      </w:r>
      <w:r>
        <w:rPr/>
        <w:t>en</w:t>
      </w:r>
      <w:r>
        <w:rPr>
          <w:spacing w:val="-14"/>
        </w:rPr>
        <w:t> </w:t>
      </w:r>
      <w:r>
        <w:rPr/>
        <w:t>asociaciones.</w:t>
      </w:r>
      <w:r>
        <w:rPr>
          <w:spacing w:val="-11"/>
        </w:rPr>
        <w:t> </w:t>
      </w:r>
      <w:r>
        <w:rPr/>
        <w:t>Por</w:t>
      </w:r>
      <w:r>
        <w:rPr>
          <w:spacing w:val="-11"/>
        </w:rPr>
        <w:t> </w:t>
      </w:r>
      <w:r>
        <w:rPr/>
        <w:t>lo</w:t>
      </w:r>
      <w:r>
        <w:rPr>
          <w:spacing w:val="-14"/>
        </w:rPr>
        <w:t> </w:t>
      </w:r>
      <w:r>
        <w:rPr/>
        <w:t>tanto,</w:t>
      </w:r>
      <w:r>
        <w:rPr>
          <w:spacing w:val="-14"/>
        </w:rPr>
        <w:t> </w:t>
      </w:r>
      <w:r>
        <w:rPr/>
        <w:t>realizamos</w:t>
      </w:r>
      <w:r>
        <w:rPr>
          <w:spacing w:val="-10"/>
        </w:rPr>
        <w:t> </w:t>
      </w:r>
      <w:r>
        <w:rPr/>
        <w:t>la</w:t>
      </w:r>
      <w:r>
        <w:rPr>
          <w:spacing w:val="-12"/>
        </w:rPr>
        <w:t> </w:t>
      </w:r>
      <w:r>
        <w:rPr/>
        <w:t>mayor</w:t>
      </w:r>
      <w:r>
        <w:rPr>
          <w:spacing w:val="-13"/>
        </w:rPr>
        <w:t> </w:t>
      </w:r>
      <w:r>
        <w:rPr/>
        <w:t>parte de nuestro trabajo en colaboración con socios de países en desarrollo. También cooperamos</w:t>
      </w:r>
      <w:r>
        <w:rPr>
          <w:spacing w:val="-14"/>
        </w:rPr>
        <w:t> </w:t>
      </w:r>
      <w:r>
        <w:rPr/>
        <w:t>con</w:t>
      </w:r>
      <w:r>
        <w:rPr>
          <w:spacing w:val="-14"/>
        </w:rPr>
        <w:t> </w:t>
      </w:r>
      <w:r>
        <w:rPr/>
        <w:t>otras</w:t>
      </w:r>
      <w:r>
        <w:rPr>
          <w:spacing w:val="-14"/>
        </w:rPr>
        <w:t> </w:t>
      </w:r>
      <w:r>
        <w:rPr/>
        <w:t>organizaciones</w:t>
      </w:r>
      <w:r>
        <w:rPr>
          <w:spacing w:val="-14"/>
        </w:rPr>
        <w:t> </w:t>
      </w:r>
      <w:r>
        <w:rPr/>
        <w:t>de</w:t>
      </w:r>
      <w:r>
        <w:rPr>
          <w:spacing w:val="-14"/>
        </w:rPr>
        <w:t> </w:t>
      </w:r>
      <w:r>
        <w:rPr/>
        <w:t>apoyo</w:t>
      </w:r>
      <w:r>
        <w:rPr>
          <w:spacing w:val="-14"/>
        </w:rPr>
        <w:t> </w:t>
      </w:r>
      <w:r>
        <w:rPr/>
        <w:t>a</w:t>
      </w:r>
      <w:r>
        <w:rPr>
          <w:spacing w:val="-14"/>
        </w:rPr>
        <w:t> </w:t>
      </w:r>
      <w:r>
        <w:rPr/>
        <w:t>la</w:t>
      </w:r>
      <w:r>
        <w:rPr>
          <w:spacing w:val="-14"/>
        </w:rPr>
        <w:t> </w:t>
      </w:r>
      <w:r>
        <w:rPr/>
        <w:t>democracia</w:t>
      </w:r>
      <w:r>
        <w:rPr>
          <w:spacing w:val="-14"/>
        </w:rPr>
        <w:t> </w:t>
      </w:r>
      <w:r>
        <w:rPr/>
        <w:t>porque</w:t>
      </w:r>
      <w:r>
        <w:rPr>
          <w:spacing w:val="-13"/>
        </w:rPr>
        <w:t> </w:t>
      </w:r>
      <w:r>
        <w:rPr/>
        <w:t>esto</w:t>
      </w:r>
      <w:r>
        <w:rPr>
          <w:spacing w:val="-14"/>
        </w:rPr>
        <w:t> </w:t>
      </w:r>
      <w:r>
        <w:rPr/>
        <w:t>ayuda a reforzar el trabajo internacional. En DIPD, insistimos en la igualdad en nuestras asociaciones. Todas las partes de la asociación contribuyen con conocimientos, experiencia y recursos, y los objetivos y propósitos de la asociación siempre se formulan en cooperación. DIPD respeta a las organizaciones socias, su independencia y el contexto político y social en el que operan. Los contextos son condiciones</w:t>
      </w:r>
      <w:r>
        <w:rPr>
          <w:spacing w:val="-14"/>
        </w:rPr>
        <w:t> </w:t>
      </w:r>
      <w:r>
        <w:rPr/>
        <w:t>dinámicas</w:t>
      </w:r>
      <w:r>
        <w:rPr>
          <w:spacing w:val="-14"/>
        </w:rPr>
        <w:t> </w:t>
      </w:r>
      <w:r>
        <w:rPr/>
        <w:t>que</w:t>
      </w:r>
      <w:r>
        <w:rPr>
          <w:spacing w:val="-13"/>
        </w:rPr>
        <w:t> </w:t>
      </w:r>
      <w:r>
        <w:rPr/>
        <w:t>cambian</w:t>
      </w:r>
      <w:r>
        <w:rPr>
          <w:spacing w:val="-13"/>
        </w:rPr>
        <w:t> </w:t>
      </w:r>
      <w:r>
        <w:rPr/>
        <w:t>a</w:t>
      </w:r>
      <w:r>
        <w:rPr>
          <w:spacing w:val="-14"/>
        </w:rPr>
        <w:t> </w:t>
      </w:r>
      <w:r>
        <w:rPr/>
        <w:t>menudo;</w:t>
      </w:r>
      <w:r>
        <w:rPr>
          <w:spacing w:val="-12"/>
        </w:rPr>
        <w:t> </w:t>
      </w:r>
      <w:r>
        <w:rPr/>
        <w:t>esto</w:t>
      </w:r>
      <w:r>
        <w:rPr>
          <w:spacing w:val="-14"/>
        </w:rPr>
        <w:t> </w:t>
      </w:r>
      <w:r>
        <w:rPr/>
        <w:t>requiere</w:t>
      </w:r>
      <w:r>
        <w:rPr>
          <w:spacing w:val="-14"/>
        </w:rPr>
        <w:t> </w:t>
      </w:r>
      <w:r>
        <w:rPr/>
        <w:t>flexibilidad,</w:t>
      </w:r>
      <w:r>
        <w:rPr>
          <w:spacing w:val="-14"/>
        </w:rPr>
        <w:t> </w:t>
      </w:r>
      <w:r>
        <w:rPr/>
        <w:t>confianza y</w:t>
      </w:r>
      <w:r>
        <w:rPr>
          <w:spacing w:val="-8"/>
        </w:rPr>
        <w:t> </w:t>
      </w:r>
      <w:r>
        <w:rPr/>
        <w:t>transparencia</w:t>
      </w:r>
      <w:r>
        <w:rPr>
          <w:spacing w:val="-6"/>
        </w:rPr>
        <w:t> </w:t>
      </w:r>
      <w:r>
        <w:rPr/>
        <w:t>en</w:t>
      </w:r>
      <w:r>
        <w:rPr>
          <w:spacing w:val="-10"/>
        </w:rPr>
        <w:t> </w:t>
      </w:r>
      <w:r>
        <w:rPr/>
        <w:t>la</w:t>
      </w:r>
      <w:r>
        <w:rPr>
          <w:spacing w:val="-10"/>
        </w:rPr>
        <w:t> </w:t>
      </w:r>
      <w:r>
        <w:rPr/>
        <w:t>relación</w:t>
      </w:r>
      <w:r>
        <w:rPr>
          <w:spacing w:val="-10"/>
        </w:rPr>
        <w:t> </w:t>
      </w:r>
      <w:r>
        <w:rPr/>
        <w:t>entre</w:t>
      </w:r>
      <w:r>
        <w:rPr>
          <w:spacing w:val="-8"/>
        </w:rPr>
        <w:t> </w:t>
      </w:r>
      <w:r>
        <w:rPr/>
        <w:t>los</w:t>
      </w:r>
      <w:r>
        <w:rPr>
          <w:spacing w:val="-9"/>
        </w:rPr>
        <w:t> </w:t>
      </w:r>
      <w:r>
        <w:rPr/>
        <w:t>socios.</w:t>
      </w:r>
      <w:r>
        <w:rPr>
          <w:spacing w:val="-7"/>
        </w:rPr>
        <w:t> </w:t>
      </w:r>
      <w:r>
        <w:rPr/>
        <w:t>Las</w:t>
      </w:r>
      <w:r>
        <w:rPr>
          <w:spacing w:val="-9"/>
        </w:rPr>
        <w:t> </w:t>
      </w:r>
      <w:r>
        <w:rPr/>
        <w:t>asociaciones</w:t>
      </w:r>
      <w:r>
        <w:rPr>
          <w:spacing w:val="-9"/>
        </w:rPr>
        <w:t> </w:t>
      </w:r>
      <w:r>
        <w:rPr/>
        <w:t>de</w:t>
      </w:r>
      <w:r>
        <w:rPr>
          <w:spacing w:val="-10"/>
        </w:rPr>
        <w:t> </w:t>
      </w:r>
      <w:r>
        <w:rPr/>
        <w:t>DIPD</w:t>
      </w:r>
      <w:r>
        <w:rPr>
          <w:spacing w:val="-9"/>
        </w:rPr>
        <w:t> </w:t>
      </w:r>
      <w:r>
        <w:rPr/>
        <w:t>se</w:t>
      </w:r>
      <w:r>
        <w:rPr>
          <w:spacing w:val="-10"/>
        </w:rPr>
        <w:t> </w:t>
      </w:r>
      <w:r>
        <w:rPr/>
        <w:t>basan en</w:t>
      </w:r>
      <w:r>
        <w:rPr>
          <w:spacing w:val="-1"/>
        </w:rPr>
        <w:t> </w:t>
      </w:r>
      <w:r>
        <w:rPr/>
        <w:t>la participación activa de</w:t>
      </w:r>
      <w:r>
        <w:rPr>
          <w:spacing w:val="-1"/>
        </w:rPr>
        <w:t> </w:t>
      </w:r>
      <w:r>
        <w:rPr/>
        <w:t>miembros de</w:t>
      </w:r>
      <w:r>
        <w:rPr>
          <w:spacing w:val="-1"/>
        </w:rPr>
        <w:t> </w:t>
      </w:r>
      <w:r>
        <w:rPr/>
        <w:t>partidos políticos. Es por eso por lo</w:t>
      </w:r>
      <w:r>
        <w:rPr>
          <w:spacing w:val="-1"/>
        </w:rPr>
        <w:t> </w:t>
      </w:r>
      <w:r>
        <w:rPr/>
        <w:t>que DIPD trabaja para fortalecer la participación activa de los miembros del partido en las asociaciones.</w:t>
      </w:r>
    </w:p>
    <w:p>
      <w:pPr>
        <w:pStyle w:val="BodyText"/>
        <w:rPr>
          <w:sz w:val="22"/>
        </w:rPr>
      </w:pPr>
    </w:p>
    <w:p>
      <w:pPr>
        <w:pStyle w:val="BodyText"/>
        <w:spacing w:before="5"/>
        <w:rPr>
          <w:sz w:val="21"/>
        </w:rPr>
      </w:pPr>
    </w:p>
    <w:p>
      <w:pPr>
        <w:pStyle w:val="Heading2"/>
        <w:numPr>
          <w:ilvl w:val="1"/>
          <w:numId w:val="4"/>
        </w:numPr>
        <w:tabs>
          <w:tab w:pos="836" w:val="left" w:leader="none"/>
          <w:tab w:pos="837" w:val="left" w:leader="none"/>
        </w:tabs>
        <w:spacing w:line="240" w:lineRule="auto" w:before="0" w:after="0"/>
        <w:ind w:left="836" w:right="0" w:hanging="721"/>
        <w:jc w:val="left"/>
      </w:pPr>
      <w:bookmarkStart w:name="_TOC_250025" w:id="8"/>
      <w:r>
        <w:rPr>
          <w:color w:val="FF0000"/>
        </w:rPr>
        <w:t>¿QUÉ</w:t>
      </w:r>
      <w:r>
        <w:rPr>
          <w:color w:val="FF0000"/>
          <w:spacing w:val="-4"/>
        </w:rPr>
        <w:t> </w:t>
      </w:r>
      <w:r>
        <w:rPr>
          <w:color w:val="FF0000"/>
        </w:rPr>
        <w:t>PAÍSES</w:t>
      </w:r>
      <w:r>
        <w:rPr>
          <w:color w:val="FF0000"/>
          <w:spacing w:val="-6"/>
        </w:rPr>
        <w:t> </w:t>
      </w:r>
      <w:r>
        <w:rPr>
          <w:color w:val="FF0000"/>
        </w:rPr>
        <w:t>APOYARÁ</w:t>
      </w:r>
      <w:r>
        <w:rPr>
          <w:color w:val="FF0000"/>
          <w:spacing w:val="-4"/>
        </w:rPr>
        <w:t> </w:t>
      </w:r>
      <w:bookmarkEnd w:id="8"/>
      <w:r>
        <w:rPr>
          <w:color w:val="FF0000"/>
          <w:spacing w:val="-2"/>
        </w:rPr>
        <w:t>DIPD?</w:t>
      </w:r>
    </w:p>
    <w:p>
      <w:pPr>
        <w:pStyle w:val="BodyText"/>
        <w:spacing w:line="268" w:lineRule="auto" w:before="160"/>
        <w:ind w:left="978" w:right="923" w:hanging="10"/>
        <w:jc w:val="both"/>
      </w:pPr>
      <w:r>
        <w:rPr/>
        <w:t>La</w:t>
      </w:r>
      <w:r>
        <w:rPr>
          <w:spacing w:val="-2"/>
        </w:rPr>
        <w:t> </w:t>
      </w:r>
      <w:r>
        <w:rPr/>
        <w:t>ley,</w:t>
      </w:r>
      <w:r>
        <w:rPr>
          <w:spacing w:val="-2"/>
        </w:rPr>
        <w:t> </w:t>
      </w:r>
      <w:r>
        <w:rPr/>
        <w:t>la</w:t>
      </w:r>
      <w:r>
        <w:rPr>
          <w:spacing w:val="-2"/>
        </w:rPr>
        <w:t> </w:t>
      </w:r>
      <w:r>
        <w:rPr/>
        <w:t>estrategia</w:t>
      </w:r>
      <w:r>
        <w:rPr>
          <w:spacing w:val="-2"/>
        </w:rPr>
        <w:t> </w:t>
      </w:r>
      <w:r>
        <w:rPr/>
        <w:t>y</w:t>
      </w:r>
      <w:r>
        <w:rPr>
          <w:spacing w:val="-1"/>
        </w:rPr>
        <w:t> </w:t>
      </w:r>
      <w:r>
        <w:rPr/>
        <w:t>el acuerdo entre el</w:t>
      </w:r>
      <w:r>
        <w:rPr>
          <w:spacing w:val="-1"/>
        </w:rPr>
        <w:t> </w:t>
      </w:r>
      <w:r>
        <w:rPr/>
        <w:t>Ministerio de Asuntos</w:t>
      </w:r>
      <w:r>
        <w:rPr>
          <w:spacing w:val="-1"/>
        </w:rPr>
        <w:t> </w:t>
      </w:r>
      <w:r>
        <w:rPr/>
        <w:t>Exteriores</w:t>
      </w:r>
      <w:r>
        <w:rPr>
          <w:spacing w:val="-1"/>
        </w:rPr>
        <w:t> </w:t>
      </w:r>
      <w:r>
        <w:rPr/>
        <w:t>danés y DIPD indican que DIPD debería esforzarse por trabajar en un número limitado de países en desarrollo. En 2021-2025, los partidos daneses podrán identificar por sí mismos socios en países donde dicha asociación/alianza y el foco de la cooperación, estén en línea con la estrategia y las áreas de resultados de DIPD.</w:t>
      </w:r>
    </w:p>
    <w:p>
      <w:pPr>
        <w:pStyle w:val="BodyText"/>
        <w:spacing w:line="271" w:lineRule="auto" w:before="131"/>
        <w:ind w:left="978" w:right="915" w:hanging="10"/>
        <w:jc w:val="both"/>
      </w:pPr>
      <w:r>
        <w:rPr/>
        <w:t>La Ejecutiva es la encargada de tomar las decisiones con respecto a las </w:t>
      </w:r>
      <w:r>
        <w:rPr>
          <w:spacing w:val="-2"/>
        </w:rPr>
        <w:t>subvenciones.</w:t>
      </w:r>
    </w:p>
    <w:p>
      <w:pPr>
        <w:pStyle w:val="BodyText"/>
        <w:spacing w:line="268" w:lineRule="auto" w:before="123"/>
        <w:ind w:left="978" w:right="914" w:hanging="10"/>
        <w:jc w:val="both"/>
      </w:pPr>
      <w:r>
        <w:rPr/>
        <w:t>Actualmente, los fondos del Ministerio de Asuntos Exteriores para DIPD proceden del</w:t>
      </w:r>
      <w:r>
        <w:rPr>
          <w:spacing w:val="-10"/>
        </w:rPr>
        <w:t> </w:t>
      </w:r>
      <w:r>
        <w:rPr/>
        <w:t>marco</w:t>
      </w:r>
      <w:r>
        <w:rPr>
          <w:spacing w:val="-9"/>
        </w:rPr>
        <w:t> </w:t>
      </w:r>
      <w:r>
        <w:rPr/>
        <w:t>para</w:t>
      </w:r>
      <w:r>
        <w:rPr>
          <w:spacing w:val="-9"/>
        </w:rPr>
        <w:t> </w:t>
      </w:r>
      <w:r>
        <w:rPr/>
        <w:t>los</w:t>
      </w:r>
      <w:r>
        <w:rPr>
          <w:spacing w:val="-10"/>
        </w:rPr>
        <w:t> </w:t>
      </w:r>
      <w:r>
        <w:rPr/>
        <w:t>derechos</w:t>
      </w:r>
      <w:r>
        <w:rPr>
          <w:spacing w:val="-10"/>
        </w:rPr>
        <w:t> </w:t>
      </w:r>
      <w:r>
        <w:rPr/>
        <w:t>humanos</w:t>
      </w:r>
      <w:r>
        <w:rPr>
          <w:spacing w:val="-10"/>
        </w:rPr>
        <w:t> </w:t>
      </w:r>
      <w:r>
        <w:rPr/>
        <w:t>y</w:t>
      </w:r>
      <w:r>
        <w:rPr>
          <w:spacing w:val="-8"/>
        </w:rPr>
        <w:t> </w:t>
      </w:r>
      <w:r>
        <w:rPr/>
        <w:t>la</w:t>
      </w:r>
      <w:r>
        <w:rPr>
          <w:spacing w:val="-9"/>
        </w:rPr>
        <w:t> </w:t>
      </w:r>
      <w:r>
        <w:rPr/>
        <w:t>democracia.</w:t>
      </w:r>
      <w:r>
        <w:rPr>
          <w:spacing w:val="-11"/>
        </w:rPr>
        <w:t> </w:t>
      </w:r>
      <w:r>
        <w:rPr/>
        <w:t>Esto</w:t>
      </w:r>
      <w:r>
        <w:rPr>
          <w:spacing w:val="-9"/>
        </w:rPr>
        <w:t> </w:t>
      </w:r>
      <w:r>
        <w:rPr/>
        <w:t>significa</w:t>
      </w:r>
      <w:r>
        <w:rPr>
          <w:spacing w:val="-9"/>
        </w:rPr>
        <w:t> </w:t>
      </w:r>
      <w:r>
        <w:rPr/>
        <w:t>que</w:t>
      </w:r>
      <w:r>
        <w:rPr>
          <w:spacing w:val="-9"/>
        </w:rPr>
        <w:t> </w:t>
      </w:r>
      <w:r>
        <w:rPr/>
        <w:t>todos</w:t>
      </w:r>
      <w:r>
        <w:rPr>
          <w:spacing w:val="-8"/>
        </w:rPr>
        <w:t> </w:t>
      </w:r>
      <w:r>
        <w:rPr/>
        <w:t>los países de la lista OCDE-CAD (las 4 categorías de países), pueden ser elegidos para la subvención. La lista actualizada de países está disponible en la página de inicio de DAC:</w:t>
      </w:r>
    </w:p>
    <w:p>
      <w:pPr>
        <w:pStyle w:val="BodyText"/>
        <w:spacing w:before="134"/>
        <w:ind w:left="968"/>
        <w:jc w:val="both"/>
      </w:pPr>
      <w:r>
        <w:rPr/>
        <w:pict>
          <v:line style="position:absolute;mso-position-horizontal-relative:page;mso-position-vertical-relative:paragraph;z-index:15736832" from="111.949997pt,79.639885pt" to="249.499997pt,79.639885pt" stroked="true" strokeweight=".96pt" strokecolor="#000000">
            <v:stroke dashstyle="shortdot"/>
            <w10:wrap type="none"/>
          </v:line>
        </w:pict>
      </w:r>
      <w:r>
        <w:rPr/>
        <w:t>Lista</w:t>
      </w:r>
      <w:r>
        <w:rPr>
          <w:spacing w:val="-11"/>
        </w:rPr>
        <w:t> </w:t>
      </w:r>
      <w:r>
        <w:rPr/>
        <w:t>de</w:t>
      </w:r>
      <w:r>
        <w:rPr>
          <w:spacing w:val="-13"/>
        </w:rPr>
        <w:t> </w:t>
      </w:r>
      <w:r>
        <w:rPr/>
        <w:t>receptores</w:t>
      </w:r>
      <w:r>
        <w:rPr>
          <w:spacing w:val="-12"/>
        </w:rPr>
        <w:t> </w:t>
      </w:r>
      <w:r>
        <w:rPr/>
        <w:t>de</w:t>
      </w:r>
      <w:r>
        <w:rPr>
          <w:spacing w:val="-10"/>
        </w:rPr>
        <w:t> </w:t>
      </w:r>
      <w:r>
        <w:rPr/>
        <w:t>AOD</w:t>
      </w:r>
      <w:r>
        <w:rPr>
          <w:spacing w:val="-11"/>
        </w:rPr>
        <w:t> </w:t>
      </w:r>
      <w:r>
        <w:rPr/>
        <w:t>del</w:t>
      </w:r>
      <w:r>
        <w:rPr>
          <w:spacing w:val="-11"/>
        </w:rPr>
        <w:t> </w:t>
      </w:r>
      <w:r>
        <w:rPr/>
        <w:t>CAD</w:t>
      </w:r>
      <w:r>
        <w:rPr>
          <w:spacing w:val="-10"/>
        </w:rPr>
        <w:t> </w:t>
      </w:r>
      <w:r>
        <w:rPr/>
        <w:t>–</w:t>
      </w:r>
      <w:r>
        <w:rPr>
          <w:spacing w:val="-12"/>
        </w:rPr>
        <w:t> </w:t>
      </w:r>
      <w:r>
        <w:rPr/>
        <w:t>OCDE:</w:t>
      </w:r>
      <w:r>
        <w:rPr>
          <w:spacing w:val="-11"/>
        </w:rPr>
        <w:t> </w:t>
      </w:r>
      <w:hyperlink r:id="rId16">
        <w:r>
          <w:rPr>
            <w:color w:val="0462C1"/>
            <w:u w:val="single" w:color="0462C1"/>
          </w:rPr>
          <w:t>DAC</w:t>
        </w:r>
        <w:r>
          <w:rPr>
            <w:color w:val="0462C1"/>
            <w:spacing w:val="-11"/>
            <w:u w:val="single" w:color="0462C1"/>
          </w:rPr>
          <w:t> </w:t>
        </w:r>
        <w:r>
          <w:rPr>
            <w:color w:val="0462C1"/>
            <w:u w:val="single" w:color="0462C1"/>
          </w:rPr>
          <w:t>List</w:t>
        </w:r>
        <w:r>
          <w:rPr>
            <w:color w:val="0462C1"/>
            <w:spacing w:val="-12"/>
            <w:u w:val="single" w:color="0462C1"/>
          </w:rPr>
          <w:t> </w:t>
        </w:r>
        <w:r>
          <w:rPr>
            <w:color w:val="0462C1"/>
            <w:u w:val="single" w:color="0462C1"/>
          </w:rPr>
          <w:t>of</w:t>
        </w:r>
        <w:r>
          <w:rPr>
            <w:color w:val="0462C1"/>
            <w:spacing w:val="-13"/>
            <w:u w:val="single" w:color="0462C1"/>
          </w:rPr>
          <w:t> </w:t>
        </w:r>
        <w:r>
          <w:rPr>
            <w:color w:val="0462C1"/>
            <w:u w:val="single" w:color="0462C1"/>
          </w:rPr>
          <w:t>ODA</w:t>
        </w:r>
        <w:r>
          <w:rPr>
            <w:color w:val="0462C1"/>
            <w:spacing w:val="-14"/>
            <w:u w:val="single" w:color="0462C1"/>
          </w:rPr>
          <w:t> </w:t>
        </w:r>
        <w:r>
          <w:rPr>
            <w:color w:val="0462C1"/>
            <w:u w:val="single" w:color="0462C1"/>
          </w:rPr>
          <w:t>Recipients</w:t>
        </w:r>
        <w:r>
          <w:rPr>
            <w:color w:val="0462C1"/>
            <w:spacing w:val="-9"/>
            <w:u w:val="single" w:color="0462C1"/>
          </w:rPr>
          <w:t> </w:t>
        </w:r>
        <w:r>
          <w:rPr>
            <w:color w:val="0462C1"/>
            <w:u w:val="single" w:color="0462C1"/>
          </w:rPr>
          <w:t>-</w:t>
        </w:r>
        <w:r>
          <w:rPr>
            <w:color w:val="0462C1"/>
            <w:spacing w:val="-12"/>
            <w:u w:val="single" w:color="0462C1"/>
          </w:rPr>
          <w:t> </w:t>
        </w:r>
        <w:r>
          <w:rPr>
            <w:color w:val="0462C1"/>
            <w:spacing w:val="-4"/>
            <w:u w:val="single" w:color="0462C1"/>
          </w:rPr>
          <w:t>OECD</w:t>
        </w:r>
      </w:hyperlink>
    </w:p>
    <w:p>
      <w:pPr>
        <w:spacing w:after="0"/>
        <w:jc w:val="both"/>
        <w:sectPr>
          <w:pgSz w:w="11910" w:h="16850"/>
          <w:pgMar w:header="718" w:footer="843" w:top="940" w:bottom="1040" w:left="1300" w:right="1400"/>
        </w:sectPr>
      </w:pPr>
    </w:p>
    <w:p>
      <w:pPr>
        <w:pStyle w:val="BodyText"/>
        <w:spacing w:line="271" w:lineRule="auto" w:before="182"/>
        <w:ind w:left="978" w:hanging="10"/>
      </w:pPr>
      <w:r>
        <w:rPr/>
        <w:t>Más</w:t>
      </w:r>
      <w:r>
        <w:rPr>
          <w:spacing w:val="40"/>
        </w:rPr>
        <w:t> </w:t>
      </w:r>
      <w:r>
        <w:rPr/>
        <w:t>información</w:t>
      </w:r>
      <w:r>
        <w:rPr>
          <w:spacing w:val="40"/>
        </w:rPr>
        <w:t> </w:t>
      </w:r>
      <w:r>
        <w:rPr/>
        <w:t>sobre</w:t>
      </w:r>
      <w:r>
        <w:rPr>
          <w:spacing w:val="40"/>
        </w:rPr>
        <w:t> </w:t>
      </w:r>
      <w:r>
        <w:rPr/>
        <w:t>las</w:t>
      </w:r>
      <w:r>
        <w:rPr>
          <w:spacing w:val="40"/>
        </w:rPr>
        <w:t> </w:t>
      </w:r>
      <w:r>
        <w:rPr/>
        <w:t>pautas</w:t>
      </w:r>
      <w:r>
        <w:rPr>
          <w:spacing w:val="40"/>
        </w:rPr>
        <w:t> </w:t>
      </w:r>
      <w:r>
        <w:rPr/>
        <w:t>de</w:t>
      </w:r>
      <w:r>
        <w:rPr>
          <w:spacing w:val="40"/>
        </w:rPr>
        <w:t> </w:t>
      </w:r>
      <w:r>
        <w:rPr/>
        <w:t>Danida</w:t>
      </w:r>
      <w:r>
        <w:rPr>
          <w:spacing w:val="40"/>
        </w:rPr>
        <w:t> </w:t>
      </w:r>
      <w:r>
        <w:rPr/>
        <w:t>están</w:t>
      </w:r>
      <w:r>
        <w:rPr>
          <w:spacing w:val="40"/>
        </w:rPr>
        <w:t> </w:t>
      </w:r>
      <w:r>
        <w:rPr/>
        <w:t>disponibles</w:t>
      </w:r>
      <w:r>
        <w:rPr>
          <w:spacing w:val="40"/>
        </w:rPr>
        <w:t> </w:t>
      </w:r>
      <w:r>
        <w:rPr/>
        <w:t>en</w:t>
      </w:r>
      <w:r>
        <w:rPr>
          <w:spacing w:val="40"/>
        </w:rPr>
        <w:t> </w:t>
      </w:r>
      <w:r>
        <w:rPr/>
        <w:t>este</w:t>
      </w:r>
      <w:r>
        <w:rPr>
          <w:spacing w:val="40"/>
        </w:rPr>
        <w:t> </w:t>
      </w:r>
      <w:r>
        <w:rPr/>
        <w:t>link: </w:t>
      </w:r>
      <w:hyperlink r:id="rId17">
        <w:r>
          <w:rPr>
            <w:color w:val="0462C1"/>
            <w:spacing w:val="-2"/>
            <w:u w:val="single" w:color="0462C1"/>
          </w:rPr>
          <w:t>www.amg.um.dk</w:t>
        </w:r>
      </w:hyperlink>
    </w:p>
    <w:p>
      <w:pPr>
        <w:pStyle w:val="BodyText"/>
      </w:pPr>
    </w:p>
    <w:p>
      <w:pPr>
        <w:pStyle w:val="BodyText"/>
        <w:spacing w:before="11"/>
        <w:rPr>
          <w:sz w:val="22"/>
        </w:rPr>
      </w:pPr>
    </w:p>
    <w:p>
      <w:pPr>
        <w:pStyle w:val="Heading3"/>
        <w:numPr>
          <w:ilvl w:val="2"/>
          <w:numId w:val="4"/>
        </w:numPr>
        <w:tabs>
          <w:tab w:pos="659" w:val="left" w:leader="none"/>
        </w:tabs>
        <w:spacing w:line="240" w:lineRule="auto" w:before="93" w:after="0"/>
        <w:ind w:left="658" w:right="0" w:hanging="557"/>
        <w:jc w:val="left"/>
      </w:pPr>
      <w:bookmarkStart w:name="_TOC_250024" w:id="9"/>
      <w:r>
        <w:rPr>
          <w:color w:val="FF0000"/>
        </w:rPr>
        <w:t>OBJETIVOS</w:t>
      </w:r>
      <w:r>
        <w:rPr>
          <w:color w:val="FF0000"/>
          <w:spacing w:val="-10"/>
        </w:rPr>
        <w:t> </w:t>
      </w:r>
      <w:bookmarkEnd w:id="9"/>
      <w:r>
        <w:rPr>
          <w:color w:val="FF0000"/>
          <w:spacing w:val="-2"/>
        </w:rPr>
        <w:t>ESTRATÉGICOS</w:t>
      </w:r>
    </w:p>
    <w:p>
      <w:pPr>
        <w:pStyle w:val="BodyText"/>
        <w:spacing w:before="10"/>
        <w:rPr>
          <w:sz w:val="24"/>
        </w:rPr>
      </w:pPr>
    </w:p>
    <w:p>
      <w:pPr>
        <w:pStyle w:val="BodyText"/>
        <w:spacing w:line="268" w:lineRule="auto"/>
        <w:ind w:left="963" w:right="812" w:hanging="10"/>
      </w:pPr>
      <w:r>
        <w:rPr/>
        <w:t>DIPD</w:t>
      </w:r>
      <w:r>
        <w:rPr>
          <w:spacing w:val="-6"/>
        </w:rPr>
        <w:t> </w:t>
      </w:r>
      <w:r>
        <w:rPr/>
        <w:t>se</w:t>
      </w:r>
      <w:r>
        <w:rPr>
          <w:spacing w:val="-7"/>
        </w:rPr>
        <w:t> </w:t>
      </w:r>
      <w:r>
        <w:rPr/>
        <w:t>centrará</w:t>
      </w:r>
      <w:r>
        <w:rPr>
          <w:spacing w:val="-6"/>
        </w:rPr>
        <w:t> </w:t>
      </w:r>
      <w:r>
        <w:rPr/>
        <w:t>en</w:t>
      </w:r>
      <w:r>
        <w:rPr>
          <w:spacing w:val="-7"/>
        </w:rPr>
        <w:t> </w:t>
      </w:r>
      <w:r>
        <w:rPr/>
        <w:t>cinco</w:t>
      </w:r>
      <w:r>
        <w:rPr>
          <w:spacing w:val="-4"/>
        </w:rPr>
        <w:t> </w:t>
      </w:r>
      <w:r>
        <w:rPr/>
        <w:t>objetivos</w:t>
      </w:r>
      <w:r>
        <w:rPr>
          <w:spacing w:val="-6"/>
        </w:rPr>
        <w:t> </w:t>
      </w:r>
      <w:r>
        <w:rPr/>
        <w:t>estratégicos</w:t>
      </w:r>
      <w:r>
        <w:rPr>
          <w:spacing w:val="-6"/>
        </w:rPr>
        <w:t> </w:t>
      </w:r>
      <w:r>
        <w:rPr/>
        <w:t>en</w:t>
      </w:r>
      <w:r>
        <w:rPr>
          <w:spacing w:val="-7"/>
        </w:rPr>
        <w:t> </w:t>
      </w:r>
      <w:r>
        <w:rPr/>
        <w:t>2021-2025</w:t>
      </w:r>
      <w:r>
        <w:rPr>
          <w:spacing w:val="-4"/>
        </w:rPr>
        <w:t> </w:t>
      </w:r>
      <w:r>
        <w:rPr/>
        <w:t>que</w:t>
      </w:r>
      <w:r>
        <w:rPr>
          <w:spacing w:val="-7"/>
        </w:rPr>
        <w:t> </w:t>
      </w:r>
      <w:r>
        <w:rPr/>
        <w:t>son</w:t>
      </w:r>
      <w:r>
        <w:rPr>
          <w:spacing w:val="-7"/>
        </w:rPr>
        <w:t> </w:t>
      </w:r>
      <w:r>
        <w:rPr/>
        <w:t>parte</w:t>
      </w:r>
      <w:r>
        <w:rPr>
          <w:spacing w:val="-7"/>
        </w:rPr>
        <w:t> </w:t>
      </w:r>
      <w:r>
        <w:rPr/>
        <w:t>de</w:t>
      </w:r>
      <w:r>
        <w:rPr>
          <w:spacing w:val="-5"/>
        </w:rPr>
        <w:t> </w:t>
      </w:r>
      <w:r>
        <w:rPr/>
        <w:t>su estrategia actual:</w:t>
      </w:r>
    </w:p>
    <w:p>
      <w:pPr>
        <w:pStyle w:val="ListParagraph"/>
        <w:numPr>
          <w:ilvl w:val="3"/>
          <w:numId w:val="4"/>
        </w:numPr>
        <w:tabs>
          <w:tab w:pos="1175" w:val="left" w:leader="none"/>
        </w:tabs>
        <w:spacing w:line="240" w:lineRule="auto" w:before="128" w:after="0"/>
        <w:ind w:left="1174" w:right="0" w:hanging="221"/>
        <w:jc w:val="left"/>
        <w:rPr>
          <w:b/>
          <w:sz w:val="20"/>
        </w:rPr>
      </w:pPr>
      <w:r>
        <w:rPr>
          <w:b/>
          <w:sz w:val="20"/>
        </w:rPr>
        <w:t>Los</w:t>
      </w:r>
      <w:r>
        <w:rPr>
          <w:b/>
          <w:spacing w:val="-9"/>
          <w:sz w:val="20"/>
        </w:rPr>
        <w:t> </w:t>
      </w:r>
      <w:r>
        <w:rPr>
          <w:b/>
          <w:sz w:val="20"/>
        </w:rPr>
        <w:t>partidos</w:t>
      </w:r>
      <w:r>
        <w:rPr>
          <w:b/>
          <w:spacing w:val="-9"/>
          <w:sz w:val="20"/>
        </w:rPr>
        <w:t> </w:t>
      </w:r>
      <w:r>
        <w:rPr>
          <w:b/>
          <w:sz w:val="20"/>
        </w:rPr>
        <w:t>políticos</w:t>
      </w:r>
      <w:r>
        <w:rPr>
          <w:b/>
          <w:spacing w:val="-9"/>
          <w:sz w:val="20"/>
        </w:rPr>
        <w:t> </w:t>
      </w:r>
      <w:r>
        <w:rPr>
          <w:b/>
          <w:sz w:val="20"/>
        </w:rPr>
        <w:t>formulan</w:t>
      </w:r>
      <w:r>
        <w:rPr>
          <w:b/>
          <w:spacing w:val="-9"/>
          <w:sz w:val="20"/>
        </w:rPr>
        <w:t> </w:t>
      </w:r>
      <w:r>
        <w:rPr>
          <w:b/>
          <w:sz w:val="20"/>
        </w:rPr>
        <w:t>y</w:t>
      </w:r>
      <w:r>
        <w:rPr>
          <w:b/>
          <w:spacing w:val="-7"/>
          <w:sz w:val="20"/>
        </w:rPr>
        <w:t> </w:t>
      </w:r>
      <w:r>
        <w:rPr>
          <w:b/>
          <w:sz w:val="20"/>
        </w:rPr>
        <w:t>comunican</w:t>
      </w:r>
      <w:r>
        <w:rPr>
          <w:b/>
          <w:spacing w:val="-6"/>
          <w:sz w:val="20"/>
        </w:rPr>
        <w:t> </w:t>
      </w:r>
      <w:r>
        <w:rPr>
          <w:b/>
          <w:sz w:val="20"/>
        </w:rPr>
        <w:t>soluciones</w:t>
      </w:r>
      <w:r>
        <w:rPr>
          <w:b/>
          <w:spacing w:val="-10"/>
          <w:sz w:val="20"/>
        </w:rPr>
        <w:t> </w:t>
      </w:r>
      <w:r>
        <w:rPr>
          <w:b/>
          <w:spacing w:val="-2"/>
          <w:sz w:val="20"/>
        </w:rPr>
        <w:t>políticas</w:t>
      </w:r>
    </w:p>
    <w:p>
      <w:pPr>
        <w:pStyle w:val="ListParagraph"/>
        <w:numPr>
          <w:ilvl w:val="3"/>
          <w:numId w:val="4"/>
        </w:numPr>
        <w:tabs>
          <w:tab w:pos="1175" w:val="left" w:leader="none"/>
        </w:tabs>
        <w:spacing w:line="240" w:lineRule="auto" w:before="154" w:after="0"/>
        <w:ind w:left="1174" w:right="0" w:hanging="221"/>
        <w:jc w:val="left"/>
        <w:rPr>
          <w:b/>
          <w:sz w:val="20"/>
        </w:rPr>
      </w:pPr>
      <w:r>
        <w:rPr>
          <w:b/>
          <w:sz w:val="20"/>
        </w:rPr>
        <w:t>Los</w:t>
      </w:r>
      <w:r>
        <w:rPr>
          <w:b/>
          <w:spacing w:val="-8"/>
          <w:sz w:val="20"/>
        </w:rPr>
        <w:t> </w:t>
      </w:r>
      <w:r>
        <w:rPr>
          <w:b/>
          <w:sz w:val="20"/>
        </w:rPr>
        <w:t>partidos</w:t>
      </w:r>
      <w:r>
        <w:rPr>
          <w:b/>
          <w:spacing w:val="-7"/>
          <w:sz w:val="20"/>
        </w:rPr>
        <w:t> </w:t>
      </w:r>
      <w:r>
        <w:rPr>
          <w:b/>
          <w:sz w:val="20"/>
        </w:rPr>
        <w:t>políticos</w:t>
      </w:r>
      <w:r>
        <w:rPr>
          <w:b/>
          <w:spacing w:val="-6"/>
          <w:sz w:val="20"/>
        </w:rPr>
        <w:t> </w:t>
      </w:r>
      <w:r>
        <w:rPr>
          <w:b/>
          <w:sz w:val="20"/>
        </w:rPr>
        <w:t>son</w:t>
      </w:r>
      <w:r>
        <w:rPr>
          <w:b/>
          <w:spacing w:val="-7"/>
          <w:sz w:val="20"/>
        </w:rPr>
        <w:t> </w:t>
      </w:r>
      <w:r>
        <w:rPr>
          <w:b/>
          <w:sz w:val="20"/>
        </w:rPr>
        <w:t>organizaciones</w:t>
      </w:r>
      <w:r>
        <w:rPr>
          <w:b/>
          <w:spacing w:val="-8"/>
          <w:sz w:val="20"/>
        </w:rPr>
        <w:t> </w:t>
      </w:r>
      <w:r>
        <w:rPr>
          <w:b/>
          <w:sz w:val="20"/>
        </w:rPr>
        <w:t>inclusivas</w:t>
      </w:r>
      <w:r>
        <w:rPr>
          <w:b/>
          <w:spacing w:val="-8"/>
          <w:sz w:val="20"/>
        </w:rPr>
        <w:t> </w:t>
      </w:r>
      <w:r>
        <w:rPr>
          <w:b/>
          <w:sz w:val="20"/>
        </w:rPr>
        <w:t>y</w:t>
      </w:r>
      <w:r>
        <w:rPr>
          <w:b/>
          <w:spacing w:val="-1"/>
          <w:sz w:val="20"/>
        </w:rPr>
        <w:t> </w:t>
      </w:r>
      <w:r>
        <w:rPr>
          <w:b/>
          <w:spacing w:val="-2"/>
          <w:sz w:val="20"/>
        </w:rPr>
        <w:t>comprometidas</w:t>
      </w:r>
    </w:p>
    <w:p>
      <w:pPr>
        <w:pStyle w:val="ListParagraph"/>
        <w:numPr>
          <w:ilvl w:val="3"/>
          <w:numId w:val="4"/>
        </w:numPr>
        <w:tabs>
          <w:tab w:pos="1175" w:val="left" w:leader="none"/>
        </w:tabs>
        <w:spacing w:line="240" w:lineRule="auto" w:before="154" w:after="0"/>
        <w:ind w:left="1174" w:right="0" w:hanging="221"/>
        <w:jc w:val="left"/>
        <w:rPr>
          <w:b/>
          <w:sz w:val="20"/>
        </w:rPr>
      </w:pPr>
      <w:r>
        <w:rPr>
          <w:b/>
          <w:sz w:val="20"/>
        </w:rPr>
        <w:t>Los</w:t>
      </w:r>
      <w:r>
        <w:rPr>
          <w:b/>
          <w:spacing w:val="-9"/>
          <w:sz w:val="20"/>
        </w:rPr>
        <w:t> </w:t>
      </w:r>
      <w:r>
        <w:rPr>
          <w:b/>
          <w:sz w:val="20"/>
        </w:rPr>
        <w:t>partidos</w:t>
      </w:r>
      <w:r>
        <w:rPr>
          <w:b/>
          <w:spacing w:val="-8"/>
          <w:sz w:val="20"/>
        </w:rPr>
        <w:t> </w:t>
      </w:r>
      <w:r>
        <w:rPr>
          <w:b/>
          <w:sz w:val="20"/>
        </w:rPr>
        <w:t>políticos</w:t>
      </w:r>
      <w:r>
        <w:rPr>
          <w:b/>
          <w:spacing w:val="-6"/>
          <w:sz w:val="20"/>
        </w:rPr>
        <w:t> </w:t>
      </w:r>
      <w:r>
        <w:rPr>
          <w:b/>
          <w:sz w:val="20"/>
        </w:rPr>
        <w:t>son</w:t>
      </w:r>
      <w:r>
        <w:rPr>
          <w:b/>
          <w:spacing w:val="-7"/>
          <w:sz w:val="20"/>
        </w:rPr>
        <w:t> </w:t>
      </w:r>
      <w:r>
        <w:rPr>
          <w:b/>
          <w:sz w:val="20"/>
        </w:rPr>
        <w:t>organizaciones</w:t>
      </w:r>
      <w:r>
        <w:rPr>
          <w:b/>
          <w:spacing w:val="-9"/>
          <w:sz w:val="20"/>
        </w:rPr>
        <w:t> </w:t>
      </w:r>
      <w:r>
        <w:rPr>
          <w:b/>
          <w:spacing w:val="-2"/>
          <w:sz w:val="20"/>
        </w:rPr>
        <w:t>democráticas</w:t>
      </w:r>
    </w:p>
    <w:p>
      <w:pPr>
        <w:pStyle w:val="ListParagraph"/>
        <w:numPr>
          <w:ilvl w:val="3"/>
          <w:numId w:val="4"/>
        </w:numPr>
        <w:tabs>
          <w:tab w:pos="1233" w:val="left" w:leader="none"/>
        </w:tabs>
        <w:spacing w:line="268" w:lineRule="auto" w:before="157" w:after="0"/>
        <w:ind w:left="963" w:right="871" w:hanging="10"/>
        <w:jc w:val="left"/>
        <w:rPr>
          <w:b/>
          <w:sz w:val="20"/>
        </w:rPr>
      </w:pPr>
      <w:r>
        <w:rPr>
          <w:b/>
          <w:sz w:val="20"/>
        </w:rPr>
        <w:t>Los</w:t>
      </w:r>
      <w:r>
        <w:rPr>
          <w:b/>
          <w:spacing w:val="40"/>
          <w:sz w:val="20"/>
        </w:rPr>
        <w:t> </w:t>
      </w:r>
      <w:r>
        <w:rPr>
          <w:b/>
          <w:sz w:val="20"/>
        </w:rPr>
        <w:t>partidos</w:t>
      </w:r>
      <w:r>
        <w:rPr>
          <w:b/>
          <w:spacing w:val="40"/>
          <w:sz w:val="20"/>
        </w:rPr>
        <w:t> </w:t>
      </w:r>
      <w:r>
        <w:rPr>
          <w:b/>
          <w:sz w:val="20"/>
        </w:rPr>
        <w:t>políticos</w:t>
      </w:r>
      <w:r>
        <w:rPr>
          <w:b/>
          <w:spacing w:val="40"/>
          <w:sz w:val="20"/>
        </w:rPr>
        <w:t> </w:t>
      </w:r>
      <w:r>
        <w:rPr>
          <w:b/>
          <w:sz w:val="20"/>
        </w:rPr>
        <w:t>participan</w:t>
      </w:r>
      <w:r>
        <w:rPr>
          <w:b/>
          <w:spacing w:val="40"/>
          <w:sz w:val="20"/>
        </w:rPr>
        <w:t> </w:t>
      </w:r>
      <w:r>
        <w:rPr>
          <w:b/>
          <w:sz w:val="20"/>
        </w:rPr>
        <w:t>en</w:t>
      </w:r>
      <w:r>
        <w:rPr>
          <w:b/>
          <w:spacing w:val="40"/>
          <w:sz w:val="20"/>
        </w:rPr>
        <w:t> </w:t>
      </w:r>
      <w:r>
        <w:rPr>
          <w:b/>
          <w:sz w:val="20"/>
        </w:rPr>
        <w:t>la</w:t>
      </w:r>
      <w:r>
        <w:rPr>
          <w:b/>
          <w:spacing w:val="40"/>
          <w:sz w:val="20"/>
        </w:rPr>
        <w:t> </w:t>
      </w:r>
      <w:r>
        <w:rPr>
          <w:b/>
          <w:sz w:val="20"/>
        </w:rPr>
        <w:t>cooperación</w:t>
      </w:r>
      <w:r>
        <w:rPr>
          <w:b/>
          <w:spacing w:val="40"/>
          <w:sz w:val="20"/>
        </w:rPr>
        <w:t> </w:t>
      </w:r>
      <w:r>
        <w:rPr>
          <w:b/>
          <w:sz w:val="20"/>
        </w:rPr>
        <w:t>y</w:t>
      </w:r>
      <w:r>
        <w:rPr>
          <w:b/>
          <w:spacing w:val="40"/>
          <w:sz w:val="20"/>
        </w:rPr>
        <w:t> </w:t>
      </w:r>
      <w:r>
        <w:rPr>
          <w:b/>
          <w:sz w:val="20"/>
        </w:rPr>
        <w:t>el</w:t>
      </w:r>
      <w:r>
        <w:rPr>
          <w:b/>
          <w:spacing w:val="40"/>
          <w:sz w:val="20"/>
        </w:rPr>
        <w:t> </w:t>
      </w:r>
      <w:r>
        <w:rPr>
          <w:b/>
          <w:sz w:val="20"/>
        </w:rPr>
        <w:t>diálogo</w:t>
      </w:r>
      <w:r>
        <w:rPr>
          <w:b/>
          <w:spacing w:val="40"/>
          <w:sz w:val="20"/>
        </w:rPr>
        <w:t> </w:t>
      </w:r>
      <w:r>
        <w:rPr>
          <w:b/>
          <w:sz w:val="20"/>
        </w:rPr>
        <w:t>entre </w:t>
      </w:r>
      <w:r>
        <w:rPr>
          <w:b/>
          <w:spacing w:val="-2"/>
          <w:sz w:val="20"/>
        </w:rPr>
        <w:t>partidos.</w:t>
      </w:r>
    </w:p>
    <w:p>
      <w:pPr>
        <w:pStyle w:val="ListParagraph"/>
        <w:numPr>
          <w:ilvl w:val="3"/>
          <w:numId w:val="4"/>
        </w:numPr>
        <w:tabs>
          <w:tab w:pos="1175" w:val="left" w:leader="none"/>
        </w:tabs>
        <w:spacing w:line="240" w:lineRule="auto" w:before="128" w:after="0"/>
        <w:ind w:left="1174" w:right="0" w:hanging="221"/>
        <w:jc w:val="left"/>
        <w:rPr>
          <w:b/>
          <w:sz w:val="20"/>
        </w:rPr>
      </w:pPr>
      <w:r>
        <w:rPr>
          <w:b/>
          <w:sz w:val="20"/>
        </w:rPr>
        <w:t>DIPD</w:t>
      </w:r>
      <w:r>
        <w:rPr>
          <w:b/>
          <w:spacing w:val="-6"/>
          <w:sz w:val="20"/>
        </w:rPr>
        <w:t> </w:t>
      </w:r>
      <w:r>
        <w:rPr>
          <w:b/>
          <w:sz w:val="20"/>
        </w:rPr>
        <w:t>aprende</w:t>
      </w:r>
      <w:r>
        <w:rPr>
          <w:b/>
          <w:spacing w:val="-6"/>
          <w:sz w:val="20"/>
        </w:rPr>
        <w:t> </w:t>
      </w:r>
      <w:r>
        <w:rPr>
          <w:b/>
          <w:sz w:val="20"/>
        </w:rPr>
        <w:t>de</w:t>
      </w:r>
      <w:r>
        <w:rPr>
          <w:b/>
          <w:spacing w:val="-6"/>
          <w:sz w:val="20"/>
        </w:rPr>
        <w:t> </w:t>
      </w:r>
      <w:r>
        <w:rPr>
          <w:b/>
          <w:sz w:val="20"/>
        </w:rPr>
        <w:t>los</w:t>
      </w:r>
      <w:r>
        <w:rPr>
          <w:b/>
          <w:spacing w:val="-5"/>
          <w:sz w:val="20"/>
        </w:rPr>
        <w:t> </w:t>
      </w:r>
      <w:r>
        <w:rPr>
          <w:b/>
          <w:sz w:val="20"/>
        </w:rPr>
        <w:t>resultados</w:t>
      </w:r>
      <w:r>
        <w:rPr>
          <w:b/>
          <w:spacing w:val="-6"/>
          <w:sz w:val="20"/>
        </w:rPr>
        <w:t> </w:t>
      </w:r>
      <w:r>
        <w:rPr>
          <w:b/>
          <w:sz w:val="20"/>
        </w:rPr>
        <w:t>y</w:t>
      </w:r>
      <w:r>
        <w:rPr>
          <w:b/>
          <w:spacing w:val="-6"/>
          <w:sz w:val="20"/>
        </w:rPr>
        <w:t> </w:t>
      </w:r>
      <w:r>
        <w:rPr>
          <w:b/>
          <w:sz w:val="20"/>
        </w:rPr>
        <w:t>los</w:t>
      </w:r>
      <w:r>
        <w:rPr>
          <w:b/>
          <w:spacing w:val="-6"/>
          <w:sz w:val="20"/>
        </w:rPr>
        <w:t> </w:t>
      </w:r>
      <w:r>
        <w:rPr>
          <w:b/>
          <w:spacing w:val="-2"/>
          <w:sz w:val="20"/>
        </w:rPr>
        <w:t>documenta</w:t>
      </w:r>
    </w:p>
    <w:p>
      <w:pPr>
        <w:pStyle w:val="BodyText"/>
        <w:rPr>
          <w:b/>
          <w:sz w:val="22"/>
        </w:rPr>
      </w:pPr>
    </w:p>
    <w:p>
      <w:pPr>
        <w:pStyle w:val="BodyText"/>
        <w:spacing w:before="9"/>
        <w:rPr>
          <w:b/>
          <w:sz w:val="24"/>
        </w:rPr>
      </w:pPr>
    </w:p>
    <w:p>
      <w:pPr>
        <w:pStyle w:val="BodyText"/>
        <w:spacing w:line="271" w:lineRule="auto"/>
        <w:ind w:left="963" w:hanging="10"/>
      </w:pPr>
      <w:r>
        <w:rPr/>
        <w:t>Los</w:t>
      </w:r>
      <w:r>
        <w:rPr>
          <w:spacing w:val="40"/>
        </w:rPr>
        <w:t> </w:t>
      </w:r>
      <w:r>
        <w:rPr/>
        <w:t>objetivos</w:t>
      </w:r>
      <w:r>
        <w:rPr>
          <w:spacing w:val="40"/>
        </w:rPr>
        <w:t> </w:t>
      </w:r>
      <w:r>
        <w:rPr/>
        <w:t>estratégicos</w:t>
      </w:r>
      <w:r>
        <w:rPr>
          <w:spacing w:val="40"/>
        </w:rPr>
        <w:t> </w:t>
      </w:r>
      <w:r>
        <w:rPr/>
        <w:t>están</w:t>
      </w:r>
      <w:r>
        <w:rPr>
          <w:spacing w:val="40"/>
        </w:rPr>
        <w:t> </w:t>
      </w:r>
      <w:r>
        <w:rPr/>
        <w:t>incluidos</w:t>
      </w:r>
      <w:r>
        <w:rPr>
          <w:spacing w:val="40"/>
        </w:rPr>
        <w:t> </w:t>
      </w:r>
      <w:r>
        <w:rPr/>
        <w:t>en</w:t>
      </w:r>
      <w:r>
        <w:rPr>
          <w:spacing w:val="39"/>
        </w:rPr>
        <w:t> </w:t>
      </w:r>
      <w:r>
        <w:rPr/>
        <w:t>la</w:t>
      </w:r>
      <w:r>
        <w:rPr>
          <w:spacing w:val="40"/>
        </w:rPr>
        <w:t> </w:t>
      </w:r>
      <w:r>
        <w:rPr/>
        <w:t>estrategia</w:t>
      </w:r>
      <w:r>
        <w:rPr>
          <w:spacing w:val="40"/>
        </w:rPr>
        <w:t> </w:t>
      </w:r>
      <w:r>
        <w:rPr/>
        <w:t>DIPD</w:t>
      </w:r>
      <w:r>
        <w:rPr>
          <w:spacing w:val="40"/>
        </w:rPr>
        <w:t> </w:t>
      </w:r>
      <w:r>
        <w:rPr/>
        <w:t>(disponible</w:t>
      </w:r>
      <w:r>
        <w:rPr>
          <w:spacing w:val="40"/>
        </w:rPr>
        <w:t> </w:t>
      </w:r>
      <w:r>
        <w:rPr/>
        <w:t>en </w:t>
      </w:r>
      <w:hyperlink r:id="rId18">
        <w:r>
          <w:rPr>
            <w:color w:val="0462C1"/>
            <w:spacing w:val="-2"/>
            <w:u w:val="single" w:color="0462C1"/>
          </w:rPr>
          <w:t>http://dipd.dk/</w:t>
        </w:r>
      </w:hyperlink>
      <w:r>
        <w:rPr>
          <w:spacing w:val="-2"/>
        </w:rPr>
        <w:t>).</w:t>
      </w:r>
    </w:p>
    <w:p>
      <w:pPr>
        <w:pStyle w:val="BodyText"/>
      </w:pPr>
    </w:p>
    <w:p>
      <w:pPr>
        <w:pStyle w:val="BodyText"/>
        <w:spacing w:before="4"/>
        <w:rPr>
          <w:sz w:val="16"/>
        </w:rPr>
      </w:pPr>
    </w:p>
    <w:p>
      <w:pPr>
        <w:pStyle w:val="Heading2"/>
        <w:numPr>
          <w:ilvl w:val="1"/>
          <w:numId w:val="4"/>
        </w:numPr>
        <w:tabs>
          <w:tab w:pos="838" w:val="left" w:leader="none"/>
          <w:tab w:pos="839" w:val="left" w:leader="none"/>
        </w:tabs>
        <w:spacing w:line="240" w:lineRule="auto" w:before="93" w:after="0"/>
        <w:ind w:left="838" w:right="0" w:hanging="737"/>
        <w:jc w:val="left"/>
      </w:pPr>
      <w:bookmarkStart w:name="_TOC_250023" w:id="10"/>
      <w:r>
        <w:rPr>
          <w:color w:val="FF0000"/>
        </w:rPr>
        <w:t>DIRECTRICES</w:t>
      </w:r>
      <w:r>
        <w:rPr>
          <w:color w:val="FF0000"/>
          <w:spacing w:val="-5"/>
        </w:rPr>
        <w:t> </w:t>
      </w:r>
      <w:r>
        <w:rPr>
          <w:color w:val="FF0000"/>
        </w:rPr>
        <w:t>PARA</w:t>
      </w:r>
      <w:r>
        <w:rPr>
          <w:color w:val="FF0000"/>
          <w:spacing w:val="-2"/>
        </w:rPr>
        <w:t> </w:t>
      </w:r>
      <w:r>
        <w:rPr>
          <w:color w:val="FF0000"/>
        </w:rPr>
        <w:t>PERÍODOS</w:t>
      </w:r>
      <w:r>
        <w:rPr>
          <w:color w:val="FF0000"/>
          <w:spacing w:val="-4"/>
        </w:rPr>
        <w:t> </w:t>
      </w:r>
      <w:bookmarkEnd w:id="10"/>
      <w:r>
        <w:rPr>
          <w:color w:val="FF0000"/>
          <w:spacing w:val="-2"/>
        </w:rPr>
        <w:t>ELECTORALES</w:t>
      </w:r>
    </w:p>
    <w:p>
      <w:pPr>
        <w:pStyle w:val="BodyText"/>
        <w:spacing w:line="268" w:lineRule="auto" w:before="187"/>
        <w:ind w:left="963" w:right="860" w:hanging="10"/>
        <w:jc w:val="both"/>
      </w:pPr>
      <w:r>
        <w:rPr/>
        <w:t>El socio danés siempre debe adherirse a la normativa nacional establecida por la Comisión Electoral u otras instituciones nacionales, y la regla general establecida por</w:t>
      </w:r>
      <w:r>
        <w:rPr>
          <w:spacing w:val="-5"/>
        </w:rPr>
        <w:t> </w:t>
      </w:r>
      <w:r>
        <w:rPr/>
        <w:t>DIPD</w:t>
      </w:r>
      <w:r>
        <w:rPr>
          <w:spacing w:val="-4"/>
        </w:rPr>
        <w:t> </w:t>
      </w:r>
      <w:r>
        <w:rPr/>
        <w:t>es</w:t>
      </w:r>
      <w:r>
        <w:rPr>
          <w:spacing w:val="-5"/>
        </w:rPr>
        <w:t> </w:t>
      </w:r>
      <w:r>
        <w:rPr/>
        <w:t>que</w:t>
      </w:r>
      <w:r>
        <w:rPr>
          <w:spacing w:val="-4"/>
        </w:rPr>
        <w:t> </w:t>
      </w:r>
      <w:r>
        <w:rPr/>
        <w:t>ni</w:t>
      </w:r>
      <w:r>
        <w:rPr>
          <w:spacing w:val="-5"/>
        </w:rPr>
        <w:t> </w:t>
      </w:r>
      <w:r>
        <w:rPr/>
        <w:t>los</w:t>
      </w:r>
      <w:r>
        <w:rPr>
          <w:spacing w:val="-3"/>
        </w:rPr>
        <w:t> </w:t>
      </w:r>
      <w:r>
        <w:rPr/>
        <w:t>partidos</w:t>
      </w:r>
      <w:r>
        <w:rPr>
          <w:spacing w:val="-4"/>
        </w:rPr>
        <w:t> </w:t>
      </w:r>
      <w:r>
        <w:rPr/>
        <w:t>políticos</w:t>
      </w:r>
      <w:r>
        <w:rPr>
          <w:spacing w:val="-5"/>
        </w:rPr>
        <w:t> </w:t>
      </w:r>
      <w:r>
        <w:rPr/>
        <w:t>daneses</w:t>
      </w:r>
      <w:r>
        <w:rPr>
          <w:spacing w:val="-3"/>
        </w:rPr>
        <w:t> </w:t>
      </w:r>
      <w:r>
        <w:rPr/>
        <w:t>ni</w:t>
      </w:r>
      <w:r>
        <w:rPr>
          <w:spacing w:val="-5"/>
        </w:rPr>
        <w:t> </w:t>
      </w:r>
      <w:r>
        <w:rPr/>
        <w:t>el</w:t>
      </w:r>
      <w:r>
        <w:rPr>
          <w:spacing w:val="-4"/>
        </w:rPr>
        <w:t> </w:t>
      </w:r>
      <w:r>
        <w:rPr/>
        <w:t>personal</w:t>
      </w:r>
      <w:r>
        <w:rPr>
          <w:spacing w:val="-6"/>
        </w:rPr>
        <w:t> </w:t>
      </w:r>
      <w:r>
        <w:rPr/>
        <w:t>del</w:t>
      </w:r>
      <w:r>
        <w:rPr>
          <w:spacing w:val="-5"/>
        </w:rPr>
        <w:t> </w:t>
      </w:r>
      <w:r>
        <w:rPr/>
        <w:t>instituto</w:t>
      </w:r>
      <w:r>
        <w:rPr>
          <w:spacing w:val="-4"/>
        </w:rPr>
        <w:t> </w:t>
      </w:r>
      <w:r>
        <w:rPr/>
        <w:t>pueden participar en las campañas electorales, y los fondos del DIPD </w:t>
      </w:r>
      <w:r>
        <w:rPr>
          <w:b/>
        </w:rPr>
        <w:t>no pueden </w:t>
      </w:r>
      <w:r>
        <w:rPr/>
        <w:t>ser utilizados para apoyar campañas electorales u otras actividades relacionadas con las elecciones.</w:t>
      </w:r>
    </w:p>
    <w:p>
      <w:pPr>
        <w:pStyle w:val="BodyText"/>
        <w:spacing w:line="268" w:lineRule="auto" w:before="132"/>
        <w:ind w:left="963" w:right="867" w:hanging="10"/>
        <w:jc w:val="both"/>
      </w:pPr>
      <w:r>
        <w:rPr/>
        <w:t>El apoyo a los partidos políticos en relación con las próximas elecciones debe suspenderse en circunstancias normales y, en todos los casos, debe cumplir con las reglas y directrices establecidas por la Comisión Electoral nacional.</w:t>
      </w:r>
    </w:p>
    <w:p>
      <w:pPr>
        <w:pStyle w:val="BodyText"/>
        <w:spacing w:line="268" w:lineRule="auto" w:before="129"/>
        <w:ind w:left="963" w:right="865" w:hanging="10"/>
        <w:jc w:val="both"/>
      </w:pPr>
      <w:r>
        <w:rPr/>
        <w:t>Se pueden hacer excepciones en situaciones en las que las actividades no están relacionadas con el proceso electoral y son aceptables según las normas </w:t>
      </w:r>
      <w:r>
        <w:rPr>
          <w:spacing w:val="-2"/>
        </w:rPr>
        <w:t>nacionales.</w:t>
      </w:r>
    </w:p>
    <w:p>
      <w:pPr>
        <w:pStyle w:val="BodyText"/>
        <w:spacing w:line="268" w:lineRule="auto" w:before="131"/>
        <w:ind w:left="963" w:right="863" w:hanging="10"/>
        <w:jc w:val="both"/>
      </w:pPr>
      <w:r>
        <w:rPr/>
        <w:t>El partido danés puede consultar con la secretaría de DIPD acerca de la posible suspensión de las actividades y acerca de cuándo suspenderlas durante un año electoral y, además, leer las directrices de DIPD sobre la conducta que DIPD debe llevar a cabo durante las elecciones. Estas directrices fueron preparadas para la toma de decisión de la Ejecutiva en marzo de 2015 (disponible en </w:t>
      </w:r>
      <w:hyperlink r:id="rId18">
        <w:r>
          <w:rPr>
            <w:color w:val="0462C1"/>
            <w:u w:val="single" w:color="0462C1"/>
          </w:rPr>
          <w:t>http://dipd.dk/</w:t>
        </w:r>
      </w:hyperlink>
      <w:r>
        <w:rPr/>
        <w:t>).</w:t>
      </w:r>
    </w:p>
    <w:p>
      <w:pPr>
        <w:pStyle w:val="BodyText"/>
      </w:pPr>
    </w:p>
    <w:p>
      <w:pPr>
        <w:pStyle w:val="BodyText"/>
        <w:spacing w:before="9"/>
        <w:rPr>
          <w:sz w:val="16"/>
        </w:rPr>
      </w:pPr>
    </w:p>
    <w:p>
      <w:pPr>
        <w:pStyle w:val="Heading2"/>
        <w:numPr>
          <w:ilvl w:val="1"/>
          <w:numId w:val="4"/>
        </w:numPr>
        <w:tabs>
          <w:tab w:pos="838" w:val="left" w:leader="none"/>
          <w:tab w:pos="839" w:val="left" w:leader="none"/>
        </w:tabs>
        <w:spacing w:line="240" w:lineRule="auto" w:before="92" w:after="0"/>
        <w:ind w:left="838" w:right="0" w:hanging="737"/>
        <w:jc w:val="left"/>
      </w:pPr>
      <w:bookmarkStart w:name="_TOC_250022" w:id="11"/>
      <w:r>
        <w:rPr>
          <w:color w:val="FF0000"/>
        </w:rPr>
        <w:t>NIVELES</w:t>
      </w:r>
      <w:r>
        <w:rPr>
          <w:color w:val="FF0000"/>
          <w:spacing w:val="-7"/>
        </w:rPr>
        <w:t> </w:t>
      </w:r>
      <w:r>
        <w:rPr>
          <w:color w:val="FF0000"/>
        </w:rPr>
        <w:t>DE</w:t>
      </w:r>
      <w:r>
        <w:rPr>
          <w:color w:val="FF0000"/>
          <w:spacing w:val="-6"/>
        </w:rPr>
        <w:t> </w:t>
      </w:r>
      <w:r>
        <w:rPr>
          <w:color w:val="FF0000"/>
        </w:rPr>
        <w:t>SUBVENCIONES</w:t>
      </w:r>
      <w:r>
        <w:rPr>
          <w:color w:val="FF0000"/>
          <w:spacing w:val="-7"/>
        </w:rPr>
        <w:t> </w:t>
      </w:r>
      <w:r>
        <w:rPr>
          <w:color w:val="FF0000"/>
        </w:rPr>
        <w:t>Y</w:t>
      </w:r>
      <w:r>
        <w:rPr>
          <w:color w:val="FF0000"/>
          <w:spacing w:val="-9"/>
        </w:rPr>
        <w:t> </w:t>
      </w:r>
      <w:r>
        <w:rPr>
          <w:color w:val="FF0000"/>
        </w:rPr>
        <w:t>TAMAÑO</w:t>
      </w:r>
      <w:r>
        <w:rPr>
          <w:color w:val="FF0000"/>
          <w:spacing w:val="-7"/>
        </w:rPr>
        <w:t> </w:t>
      </w:r>
      <w:r>
        <w:rPr>
          <w:color w:val="FF0000"/>
        </w:rPr>
        <w:t>DE</w:t>
      </w:r>
      <w:r>
        <w:rPr>
          <w:color w:val="FF0000"/>
          <w:spacing w:val="-6"/>
        </w:rPr>
        <w:t> </w:t>
      </w:r>
      <w:bookmarkEnd w:id="11"/>
      <w:r>
        <w:rPr>
          <w:color w:val="FF0000"/>
          <w:spacing w:val="-2"/>
        </w:rPr>
        <w:t>ASOCIACIONES</w:t>
      </w:r>
    </w:p>
    <w:p>
      <w:pPr>
        <w:pStyle w:val="BodyText"/>
        <w:rPr>
          <w:sz w:val="26"/>
        </w:rPr>
      </w:pPr>
    </w:p>
    <w:p>
      <w:pPr>
        <w:pStyle w:val="BodyText"/>
        <w:spacing w:before="9"/>
        <w:rPr>
          <w:sz w:val="23"/>
        </w:rPr>
      </w:pPr>
    </w:p>
    <w:p>
      <w:pPr>
        <w:pStyle w:val="BodyText"/>
        <w:spacing w:line="268" w:lineRule="auto"/>
        <w:ind w:left="963" w:right="858" w:hanging="10"/>
        <w:jc w:val="both"/>
      </w:pPr>
      <w:r>
        <w:rPr/>
        <w:pict>
          <v:line style="position:absolute;mso-position-horizontal-relative:page;mso-position-vertical-relative:paragraph;z-index:15737344" from="345.899994pt,108.599884pt" to="483.549994pt,108.599884pt" stroked="true" strokeweight=".96pt" strokecolor="#000000">
            <v:stroke dashstyle="shortdot"/>
            <w10:wrap type="none"/>
          </v:line>
        </w:pict>
      </w:r>
      <w:r>
        <w:rPr/>
        <w:t>Los</w:t>
      </w:r>
      <w:r>
        <w:rPr>
          <w:spacing w:val="-14"/>
        </w:rPr>
        <w:t> </w:t>
      </w:r>
      <w:r>
        <w:rPr/>
        <w:t>fondos</w:t>
      </w:r>
      <w:r>
        <w:rPr>
          <w:spacing w:val="-14"/>
        </w:rPr>
        <w:t> </w:t>
      </w:r>
      <w:r>
        <w:rPr/>
        <w:t>de</w:t>
      </w:r>
      <w:r>
        <w:rPr>
          <w:spacing w:val="-14"/>
        </w:rPr>
        <w:t> </w:t>
      </w:r>
      <w:r>
        <w:rPr/>
        <w:t>subvenciones</w:t>
      </w:r>
      <w:r>
        <w:rPr>
          <w:spacing w:val="-14"/>
        </w:rPr>
        <w:t> </w:t>
      </w:r>
      <w:r>
        <w:rPr/>
        <w:t>para</w:t>
      </w:r>
      <w:r>
        <w:rPr>
          <w:spacing w:val="-14"/>
        </w:rPr>
        <w:t> </w:t>
      </w:r>
      <w:r>
        <w:rPr/>
        <w:t>asociaciones</w:t>
      </w:r>
      <w:r>
        <w:rPr>
          <w:spacing w:val="-14"/>
        </w:rPr>
        <w:t> </w:t>
      </w:r>
      <w:r>
        <w:rPr/>
        <w:t>entre</w:t>
      </w:r>
      <w:r>
        <w:rPr>
          <w:spacing w:val="-14"/>
        </w:rPr>
        <w:t> </w:t>
      </w:r>
      <w:r>
        <w:rPr/>
        <w:t>partidos</w:t>
      </w:r>
      <w:r>
        <w:rPr>
          <w:spacing w:val="-14"/>
        </w:rPr>
        <w:t> </w:t>
      </w:r>
      <w:r>
        <w:rPr/>
        <w:t>están</w:t>
      </w:r>
      <w:r>
        <w:rPr>
          <w:spacing w:val="-14"/>
        </w:rPr>
        <w:t> </w:t>
      </w:r>
      <w:r>
        <w:rPr/>
        <w:t>reservados</w:t>
      </w:r>
      <w:r>
        <w:rPr>
          <w:spacing w:val="-13"/>
        </w:rPr>
        <w:t> </w:t>
      </w:r>
      <w:r>
        <w:rPr/>
        <w:t>para los</w:t>
      </w:r>
      <w:r>
        <w:rPr>
          <w:spacing w:val="-7"/>
        </w:rPr>
        <w:t> </w:t>
      </w:r>
      <w:r>
        <w:rPr/>
        <w:t>partidos</w:t>
      </w:r>
      <w:r>
        <w:rPr>
          <w:spacing w:val="-6"/>
        </w:rPr>
        <w:t> </w:t>
      </w:r>
      <w:r>
        <w:rPr/>
        <w:t>políticos</w:t>
      </w:r>
      <w:r>
        <w:rPr>
          <w:spacing w:val="-7"/>
        </w:rPr>
        <w:t> </w:t>
      </w:r>
      <w:r>
        <w:rPr/>
        <w:t>daneses</w:t>
      </w:r>
      <w:r>
        <w:rPr>
          <w:spacing w:val="-3"/>
        </w:rPr>
        <w:t> </w:t>
      </w:r>
      <w:r>
        <w:rPr/>
        <w:t>que</w:t>
      </w:r>
      <w:r>
        <w:rPr>
          <w:spacing w:val="-8"/>
        </w:rPr>
        <w:t> </w:t>
      </w:r>
      <w:r>
        <w:rPr/>
        <w:t>con</w:t>
      </w:r>
      <w:r>
        <w:rPr>
          <w:spacing w:val="-8"/>
        </w:rPr>
        <w:t> </w:t>
      </w:r>
      <w:r>
        <w:rPr/>
        <w:t>representación</w:t>
      </w:r>
      <w:r>
        <w:rPr>
          <w:spacing w:val="-6"/>
        </w:rPr>
        <w:t> </w:t>
      </w:r>
      <w:r>
        <w:rPr/>
        <w:t>parlamentaria</w:t>
      </w:r>
      <w:r>
        <w:rPr>
          <w:spacing w:val="-8"/>
        </w:rPr>
        <w:t> </w:t>
      </w:r>
      <w:r>
        <w:rPr/>
        <w:t>en</w:t>
      </w:r>
      <w:r>
        <w:rPr>
          <w:spacing w:val="-6"/>
        </w:rPr>
        <w:t> </w:t>
      </w:r>
      <w:r>
        <w:rPr/>
        <w:t>Dinamarca. Los partidos políticos reciben los fondos siguiendo un método en particular. La secretaría</w:t>
      </w:r>
      <w:r>
        <w:rPr>
          <w:spacing w:val="-8"/>
        </w:rPr>
        <w:t> </w:t>
      </w:r>
      <w:r>
        <w:rPr/>
        <w:t>de</w:t>
      </w:r>
      <w:r>
        <w:rPr>
          <w:spacing w:val="-7"/>
        </w:rPr>
        <w:t> </w:t>
      </w:r>
      <w:r>
        <w:rPr/>
        <w:t>DIPD</w:t>
      </w:r>
      <w:r>
        <w:rPr>
          <w:spacing w:val="-8"/>
        </w:rPr>
        <w:t> </w:t>
      </w:r>
      <w:r>
        <w:rPr/>
        <w:t>sólo</w:t>
      </w:r>
      <w:r>
        <w:rPr>
          <w:spacing w:val="-9"/>
        </w:rPr>
        <w:t> </w:t>
      </w:r>
      <w:r>
        <w:rPr/>
        <w:t>puede</w:t>
      </w:r>
      <w:r>
        <w:rPr>
          <w:spacing w:val="-7"/>
        </w:rPr>
        <w:t> </w:t>
      </w:r>
      <w:r>
        <w:rPr/>
        <w:t>liberar</w:t>
      </w:r>
      <w:r>
        <w:rPr>
          <w:spacing w:val="-7"/>
        </w:rPr>
        <w:t> </w:t>
      </w:r>
      <w:r>
        <w:rPr/>
        <w:t>los</w:t>
      </w:r>
      <w:r>
        <w:rPr>
          <w:spacing w:val="-7"/>
        </w:rPr>
        <w:t> </w:t>
      </w:r>
      <w:r>
        <w:rPr/>
        <w:t>fondos</w:t>
      </w:r>
      <w:r>
        <w:rPr>
          <w:spacing w:val="-7"/>
        </w:rPr>
        <w:t> </w:t>
      </w:r>
      <w:r>
        <w:rPr/>
        <w:t>una</w:t>
      </w:r>
      <w:r>
        <w:rPr>
          <w:spacing w:val="-9"/>
        </w:rPr>
        <w:t> </w:t>
      </w:r>
      <w:r>
        <w:rPr/>
        <w:t>vez</w:t>
      </w:r>
      <w:r>
        <w:rPr>
          <w:spacing w:val="-7"/>
        </w:rPr>
        <w:t> </w:t>
      </w:r>
      <w:r>
        <w:rPr/>
        <w:t>la</w:t>
      </w:r>
      <w:r>
        <w:rPr>
          <w:spacing w:val="-7"/>
        </w:rPr>
        <w:t> </w:t>
      </w:r>
      <w:r>
        <w:rPr/>
        <w:t>Ejecutiva</w:t>
      </w:r>
      <w:r>
        <w:rPr>
          <w:spacing w:val="-7"/>
        </w:rPr>
        <w:t> </w:t>
      </w:r>
      <w:r>
        <w:rPr/>
        <w:t>de</w:t>
      </w:r>
      <w:r>
        <w:rPr>
          <w:spacing w:val="-9"/>
        </w:rPr>
        <w:t> </w:t>
      </w:r>
      <w:r>
        <w:rPr/>
        <w:t>DIPD</w:t>
      </w:r>
      <w:r>
        <w:rPr>
          <w:spacing w:val="-4"/>
        </w:rPr>
        <w:t> </w:t>
      </w:r>
      <w:r>
        <w:rPr/>
        <w:t>haya aprobado un FA (</w:t>
      </w:r>
      <w:r>
        <w:rPr>
          <w:i/>
        </w:rPr>
        <w:t>siglas en inglés para el Acuerdo Marco)</w:t>
      </w:r>
      <w:r>
        <w:rPr/>
        <w:t>.</w:t>
      </w:r>
    </w:p>
    <w:p>
      <w:pPr>
        <w:spacing w:after="0" w:line="268" w:lineRule="auto"/>
        <w:jc w:val="both"/>
        <w:sectPr>
          <w:pgSz w:w="11910" w:h="16850"/>
          <w:pgMar w:header="718" w:footer="843" w:top="940" w:bottom="1040" w:left="1300" w:right="1400"/>
        </w:sectPr>
      </w:pPr>
    </w:p>
    <w:p>
      <w:pPr>
        <w:pStyle w:val="BodyText"/>
      </w:pPr>
    </w:p>
    <w:p>
      <w:pPr>
        <w:pStyle w:val="BodyText"/>
      </w:pPr>
    </w:p>
    <w:p>
      <w:pPr>
        <w:pStyle w:val="BodyText"/>
        <w:spacing w:before="2"/>
        <w:rPr>
          <w:sz w:val="21"/>
        </w:rPr>
      </w:pPr>
    </w:p>
    <w:p>
      <w:pPr>
        <w:pStyle w:val="BodyText"/>
        <w:spacing w:line="271" w:lineRule="auto" w:before="93"/>
        <w:ind w:left="963" w:right="861" w:hanging="10"/>
        <w:jc w:val="both"/>
      </w:pPr>
      <w:r>
        <w:rPr/>
        <w:t>Dentro</w:t>
      </w:r>
      <w:r>
        <w:rPr>
          <w:spacing w:val="-3"/>
        </w:rPr>
        <w:t> </w:t>
      </w:r>
      <w:r>
        <w:rPr/>
        <w:t>del</w:t>
      </w:r>
      <w:r>
        <w:rPr>
          <w:spacing w:val="-4"/>
        </w:rPr>
        <w:t> </w:t>
      </w:r>
      <w:r>
        <w:rPr/>
        <w:t>mismo</w:t>
      </w:r>
      <w:r>
        <w:rPr>
          <w:spacing w:val="-3"/>
        </w:rPr>
        <w:t> </w:t>
      </w:r>
      <w:r>
        <w:rPr/>
        <w:t>marco</w:t>
      </w:r>
      <w:r>
        <w:rPr>
          <w:spacing w:val="-4"/>
        </w:rPr>
        <w:t> </w:t>
      </w:r>
      <w:r>
        <w:rPr/>
        <w:t>de</w:t>
      </w:r>
      <w:r>
        <w:rPr>
          <w:spacing w:val="-4"/>
        </w:rPr>
        <w:t> </w:t>
      </w:r>
      <w:r>
        <w:rPr/>
        <w:t>la</w:t>
      </w:r>
      <w:r>
        <w:rPr>
          <w:spacing w:val="-4"/>
        </w:rPr>
        <w:t> </w:t>
      </w:r>
      <w:r>
        <w:rPr/>
        <w:t>financiación</w:t>
      </w:r>
      <w:r>
        <w:rPr>
          <w:spacing w:val="-3"/>
        </w:rPr>
        <w:t> </w:t>
      </w:r>
      <w:r>
        <w:rPr/>
        <w:t>asignada,</w:t>
      </w:r>
      <w:r>
        <w:rPr>
          <w:spacing w:val="-1"/>
        </w:rPr>
        <w:t> </w:t>
      </w:r>
      <w:r>
        <w:rPr/>
        <w:t>el</w:t>
      </w:r>
      <w:r>
        <w:rPr>
          <w:spacing w:val="-4"/>
        </w:rPr>
        <w:t> </w:t>
      </w:r>
      <w:r>
        <w:rPr/>
        <w:t>partido danés</w:t>
      </w:r>
      <w:r>
        <w:rPr>
          <w:spacing w:val="-3"/>
        </w:rPr>
        <w:t> </w:t>
      </w:r>
      <w:r>
        <w:rPr/>
        <w:t>podrá</w:t>
      </w:r>
      <w:r>
        <w:rPr>
          <w:spacing w:val="-3"/>
        </w:rPr>
        <w:t> </w:t>
      </w:r>
      <w:r>
        <w:rPr/>
        <w:t>utilizar el importe anual total en una o en varias asociaciones con otros partidos.</w:t>
      </w:r>
    </w:p>
    <w:p>
      <w:pPr>
        <w:pStyle w:val="BodyText"/>
        <w:rPr>
          <w:sz w:val="22"/>
        </w:rPr>
      </w:pPr>
    </w:p>
    <w:p>
      <w:pPr>
        <w:pStyle w:val="BodyText"/>
        <w:spacing w:before="2"/>
        <w:rPr>
          <w:sz w:val="22"/>
        </w:rPr>
      </w:pPr>
    </w:p>
    <w:p>
      <w:pPr>
        <w:pStyle w:val="Heading2"/>
        <w:numPr>
          <w:ilvl w:val="1"/>
          <w:numId w:val="4"/>
        </w:numPr>
        <w:tabs>
          <w:tab w:pos="1196" w:val="left" w:leader="none"/>
          <w:tab w:pos="1197" w:val="left" w:leader="none"/>
        </w:tabs>
        <w:spacing w:line="240" w:lineRule="auto" w:before="0" w:after="0"/>
        <w:ind w:left="1196" w:right="0" w:hanging="1095"/>
        <w:jc w:val="left"/>
      </w:pPr>
      <w:bookmarkStart w:name="_TOC_250021" w:id="12"/>
      <w:r>
        <w:rPr>
          <w:color w:val="FF0000"/>
        </w:rPr>
        <w:t>PROCESO</w:t>
      </w:r>
      <w:r>
        <w:rPr>
          <w:color w:val="FF0000"/>
          <w:spacing w:val="-7"/>
        </w:rPr>
        <w:t> </w:t>
      </w:r>
      <w:r>
        <w:rPr>
          <w:color w:val="FF0000"/>
        </w:rPr>
        <w:t>DEL</w:t>
      </w:r>
      <w:r>
        <w:rPr>
          <w:color w:val="FF0000"/>
          <w:spacing w:val="-7"/>
        </w:rPr>
        <w:t> </w:t>
      </w:r>
      <w:r>
        <w:rPr>
          <w:color w:val="FF0000"/>
        </w:rPr>
        <w:t>ACUERDO</w:t>
      </w:r>
      <w:r>
        <w:rPr>
          <w:color w:val="FF0000"/>
          <w:spacing w:val="-6"/>
        </w:rPr>
        <w:t> </w:t>
      </w:r>
      <w:bookmarkEnd w:id="12"/>
      <w:r>
        <w:rPr>
          <w:color w:val="FF0000"/>
          <w:spacing w:val="-4"/>
        </w:rPr>
        <w:t>MARCO</w:t>
      </w:r>
    </w:p>
    <w:p>
      <w:pPr>
        <w:spacing w:line="271" w:lineRule="auto" w:before="187"/>
        <w:ind w:left="963" w:right="862" w:hanging="10"/>
        <w:jc w:val="both"/>
        <w:rPr>
          <w:sz w:val="20"/>
        </w:rPr>
      </w:pPr>
      <w:r>
        <w:rPr>
          <w:sz w:val="20"/>
        </w:rPr>
        <w:t>La formulación y posterior aprobación del FA (</w:t>
      </w:r>
      <w:r>
        <w:rPr>
          <w:i/>
          <w:sz w:val="20"/>
        </w:rPr>
        <w:t>siglas en inglés para el Acuerdo</w:t>
      </w:r>
      <w:r>
        <w:rPr>
          <w:i/>
          <w:sz w:val="20"/>
        </w:rPr>
        <w:t> Marco) </w:t>
      </w:r>
      <w:r>
        <w:rPr>
          <w:sz w:val="20"/>
        </w:rPr>
        <w:t>se pueden dividir en cuatro fases diferentes.:</w:t>
      </w:r>
    </w:p>
    <w:p>
      <w:pPr>
        <w:pStyle w:val="BodyText"/>
        <w:spacing w:before="4"/>
        <w:rPr>
          <w:sz w:val="21"/>
        </w:rPr>
      </w:pPr>
    </w:p>
    <w:p>
      <w:pPr>
        <w:pStyle w:val="Heading3"/>
        <w:spacing w:line="264" w:lineRule="auto"/>
        <w:ind w:left="978" w:right="812" w:hanging="10"/>
      </w:pPr>
      <w:r>
        <w:rPr>
          <w:color w:val="FF0000"/>
        </w:rPr>
        <w:t>PASO</w:t>
      </w:r>
      <w:r>
        <w:rPr>
          <w:color w:val="FF0000"/>
          <w:spacing w:val="-5"/>
        </w:rPr>
        <w:t> </w:t>
      </w:r>
      <w:r>
        <w:rPr>
          <w:color w:val="FF0000"/>
        </w:rPr>
        <w:t>1</w:t>
      </w:r>
      <w:r>
        <w:rPr>
          <w:color w:val="FF0000"/>
          <w:spacing w:val="-4"/>
        </w:rPr>
        <w:t> </w:t>
      </w:r>
      <w:r>
        <w:rPr>
          <w:color w:val="FF0000"/>
        </w:rPr>
        <w:t>–</w:t>
      </w:r>
      <w:r>
        <w:rPr>
          <w:color w:val="FF0000"/>
          <w:spacing w:val="-6"/>
        </w:rPr>
        <w:t> </w:t>
      </w:r>
      <w:r>
        <w:rPr>
          <w:color w:val="FF0000"/>
        </w:rPr>
        <w:t>REDACCIÓN</w:t>
      </w:r>
      <w:r>
        <w:rPr>
          <w:color w:val="FF0000"/>
          <w:spacing w:val="-6"/>
        </w:rPr>
        <w:t> </w:t>
      </w:r>
      <w:r>
        <w:rPr>
          <w:color w:val="FF0000"/>
        </w:rPr>
        <w:t>DEL</w:t>
      </w:r>
      <w:r>
        <w:rPr>
          <w:color w:val="FF0000"/>
          <w:spacing w:val="-4"/>
        </w:rPr>
        <w:t> </w:t>
      </w:r>
      <w:r>
        <w:rPr>
          <w:color w:val="FF0000"/>
        </w:rPr>
        <w:t>BORRADOR</w:t>
      </w:r>
      <w:r>
        <w:rPr>
          <w:color w:val="FF0000"/>
          <w:spacing w:val="-6"/>
        </w:rPr>
        <w:t> </w:t>
      </w:r>
      <w:r>
        <w:rPr>
          <w:color w:val="FF0000"/>
        </w:rPr>
        <w:t>DEL</w:t>
      </w:r>
      <w:r>
        <w:rPr>
          <w:color w:val="FF0000"/>
          <w:spacing w:val="-4"/>
        </w:rPr>
        <w:t> </w:t>
      </w:r>
      <w:r>
        <w:rPr>
          <w:color w:val="FF0000"/>
        </w:rPr>
        <w:t>ACUERDO</w:t>
      </w:r>
      <w:r>
        <w:rPr>
          <w:color w:val="FF0000"/>
          <w:spacing w:val="-4"/>
        </w:rPr>
        <w:t> </w:t>
      </w:r>
      <w:r>
        <w:rPr>
          <w:color w:val="FF0000"/>
        </w:rPr>
        <w:t>MARCO POR</w:t>
      </w:r>
      <w:r>
        <w:rPr>
          <w:color w:val="FF0000"/>
          <w:spacing w:val="-3"/>
        </w:rPr>
        <w:t> </w:t>
      </w:r>
      <w:r>
        <w:rPr>
          <w:color w:val="FF0000"/>
        </w:rPr>
        <w:t>EL PARTIDO DANÉS</w:t>
      </w:r>
    </w:p>
    <w:p>
      <w:pPr>
        <w:spacing w:line="268" w:lineRule="auto" w:before="138"/>
        <w:ind w:left="963" w:right="862" w:hanging="10"/>
        <w:jc w:val="both"/>
        <w:rPr>
          <w:i/>
          <w:sz w:val="20"/>
        </w:rPr>
      </w:pPr>
      <w:r>
        <w:rPr>
          <w:sz w:val="20"/>
        </w:rPr>
        <w:t>El Partido danés redactará un borrador del FA (</w:t>
      </w:r>
      <w:r>
        <w:rPr>
          <w:i/>
          <w:sz w:val="20"/>
        </w:rPr>
        <w:t>siglas en inglés para el Acuerdo</w:t>
      </w:r>
      <w:r>
        <w:rPr>
          <w:i/>
          <w:sz w:val="20"/>
        </w:rPr>
        <w:t> Marco) </w:t>
      </w:r>
      <w:r>
        <w:rPr>
          <w:sz w:val="20"/>
        </w:rPr>
        <w:t>en el que se incluirán todas las actividades preparatorias y/o las asociaciones entre partidos para el AC (</w:t>
      </w:r>
      <w:r>
        <w:rPr>
          <w:i/>
          <w:sz w:val="20"/>
        </w:rPr>
        <w:t>siglas en inglés para el Comité de</w:t>
      </w:r>
      <w:r>
        <w:rPr>
          <w:i/>
          <w:sz w:val="20"/>
        </w:rPr>
        <w:t> </w:t>
      </w:r>
      <w:r>
        <w:rPr>
          <w:i/>
          <w:spacing w:val="-2"/>
          <w:sz w:val="20"/>
        </w:rPr>
        <w:t>Evaluación)</w:t>
      </w:r>
    </w:p>
    <w:p>
      <w:pPr>
        <w:pStyle w:val="BodyText"/>
        <w:spacing w:before="10"/>
        <w:rPr>
          <w:i/>
          <w:sz w:val="21"/>
        </w:rPr>
      </w:pPr>
    </w:p>
    <w:p>
      <w:pPr>
        <w:pStyle w:val="Heading3"/>
        <w:ind w:left="968"/>
      </w:pPr>
      <w:r>
        <w:rPr>
          <w:color w:val="FF0000"/>
        </w:rPr>
        <w:t>PASO</w:t>
      </w:r>
      <w:r>
        <w:rPr>
          <w:color w:val="FF0000"/>
          <w:spacing w:val="-7"/>
        </w:rPr>
        <w:t> </w:t>
      </w:r>
      <w:r>
        <w:rPr>
          <w:color w:val="FF0000"/>
        </w:rPr>
        <w:t>2</w:t>
      </w:r>
      <w:r>
        <w:rPr>
          <w:color w:val="FF0000"/>
          <w:spacing w:val="-4"/>
        </w:rPr>
        <w:t> </w:t>
      </w:r>
      <w:r>
        <w:rPr>
          <w:color w:val="FF0000"/>
        </w:rPr>
        <w:t>-</w:t>
      </w:r>
      <w:r>
        <w:rPr>
          <w:color w:val="FF0000"/>
          <w:spacing w:val="-4"/>
        </w:rPr>
        <w:t> </w:t>
      </w:r>
      <w:r>
        <w:rPr>
          <w:color w:val="FF0000"/>
        </w:rPr>
        <w:t>FEEDBACK</w:t>
      </w:r>
      <w:r>
        <w:rPr>
          <w:color w:val="FF0000"/>
          <w:spacing w:val="-3"/>
        </w:rPr>
        <w:t> </w:t>
      </w:r>
      <w:r>
        <w:rPr>
          <w:color w:val="FF0000"/>
        </w:rPr>
        <w:t>Y</w:t>
      </w:r>
      <w:r>
        <w:rPr>
          <w:color w:val="FF0000"/>
          <w:spacing w:val="-5"/>
        </w:rPr>
        <w:t> </w:t>
      </w:r>
      <w:r>
        <w:rPr>
          <w:color w:val="FF0000"/>
        </w:rPr>
        <w:t>CONTROL</w:t>
      </w:r>
      <w:r>
        <w:rPr>
          <w:color w:val="FF0000"/>
          <w:spacing w:val="-4"/>
        </w:rPr>
        <w:t> </w:t>
      </w:r>
      <w:r>
        <w:rPr>
          <w:color w:val="FF0000"/>
        </w:rPr>
        <w:t>DE</w:t>
      </w:r>
      <w:r>
        <w:rPr>
          <w:color w:val="FF0000"/>
          <w:spacing w:val="-4"/>
        </w:rPr>
        <w:t> </w:t>
      </w:r>
      <w:r>
        <w:rPr>
          <w:color w:val="FF0000"/>
          <w:spacing w:val="-2"/>
        </w:rPr>
        <w:t>CALIDAD</w:t>
      </w:r>
    </w:p>
    <w:p>
      <w:pPr>
        <w:spacing w:line="271" w:lineRule="auto" w:before="159"/>
        <w:ind w:left="963" w:right="859" w:hanging="10"/>
        <w:jc w:val="both"/>
        <w:rPr>
          <w:sz w:val="20"/>
        </w:rPr>
      </w:pPr>
      <w:r>
        <w:rPr>
          <w:sz w:val="20"/>
        </w:rPr>
        <w:t>El AC (</w:t>
      </w:r>
      <w:r>
        <w:rPr>
          <w:i/>
          <w:sz w:val="20"/>
        </w:rPr>
        <w:t>siglas en inglés para el Comité de Evaluación) </w:t>
      </w:r>
      <w:r>
        <w:rPr>
          <w:sz w:val="20"/>
        </w:rPr>
        <w:t>revisará si el FA (</w:t>
      </w:r>
      <w:r>
        <w:rPr>
          <w:i/>
          <w:sz w:val="20"/>
        </w:rPr>
        <w:t>siglas en</w:t>
      </w:r>
      <w:r>
        <w:rPr>
          <w:i/>
          <w:sz w:val="20"/>
        </w:rPr>
        <w:t> inglés para el Acuerdo Marco) </w:t>
      </w:r>
      <w:r>
        <w:rPr>
          <w:sz w:val="20"/>
        </w:rPr>
        <w:t>cumplen los requisitos formales y si el formato del documento está en línea con la estrategia y los principios de DIPD. El AC añadirá comentarios basados en el ACQAC (</w:t>
      </w:r>
      <w:r>
        <w:rPr>
          <w:i/>
          <w:sz w:val="20"/>
        </w:rPr>
        <w:t>siglas en inglés para Check-List de Garantía</w:t>
      </w:r>
      <w:r>
        <w:rPr>
          <w:i/>
          <w:sz w:val="20"/>
        </w:rPr>
        <w:t> de Calidad del Comité de Evaluación</w:t>
      </w:r>
      <w:r>
        <w:rPr>
          <w:sz w:val="20"/>
        </w:rPr>
        <w:t>).</w:t>
      </w:r>
    </w:p>
    <w:p>
      <w:pPr>
        <w:pStyle w:val="BodyText"/>
        <w:rPr>
          <w:sz w:val="21"/>
        </w:rPr>
      </w:pPr>
    </w:p>
    <w:p>
      <w:pPr>
        <w:pStyle w:val="Heading3"/>
        <w:ind w:left="968"/>
      </w:pPr>
      <w:r>
        <w:rPr>
          <w:color w:val="FF0000"/>
        </w:rPr>
        <w:t>PASO</w:t>
      </w:r>
      <w:r>
        <w:rPr>
          <w:color w:val="FF0000"/>
          <w:spacing w:val="-5"/>
        </w:rPr>
        <w:t> </w:t>
      </w:r>
      <w:r>
        <w:rPr>
          <w:color w:val="FF0000"/>
        </w:rPr>
        <w:t>3</w:t>
      </w:r>
      <w:r>
        <w:rPr>
          <w:color w:val="FF0000"/>
          <w:spacing w:val="-4"/>
        </w:rPr>
        <w:t> </w:t>
      </w:r>
      <w:r>
        <w:rPr>
          <w:color w:val="FF0000"/>
        </w:rPr>
        <w:t>–</w:t>
      </w:r>
      <w:r>
        <w:rPr>
          <w:color w:val="FF0000"/>
          <w:spacing w:val="-6"/>
        </w:rPr>
        <w:t> </w:t>
      </w:r>
      <w:r>
        <w:rPr>
          <w:color w:val="FF0000"/>
        </w:rPr>
        <w:t>FORMATO</w:t>
      </w:r>
      <w:r>
        <w:rPr>
          <w:color w:val="FF0000"/>
          <w:spacing w:val="-5"/>
        </w:rPr>
        <w:t> </w:t>
      </w:r>
      <w:r>
        <w:rPr>
          <w:color w:val="FF0000"/>
        </w:rPr>
        <w:t>FINAL</w:t>
      </w:r>
      <w:r>
        <w:rPr>
          <w:color w:val="FF0000"/>
          <w:spacing w:val="-6"/>
        </w:rPr>
        <w:t> </w:t>
      </w:r>
      <w:r>
        <w:rPr>
          <w:color w:val="FF0000"/>
        </w:rPr>
        <w:t>DEL</w:t>
      </w:r>
      <w:r>
        <w:rPr>
          <w:color w:val="FF0000"/>
          <w:spacing w:val="-6"/>
        </w:rPr>
        <w:t> </w:t>
      </w:r>
      <w:r>
        <w:rPr>
          <w:color w:val="FF0000"/>
        </w:rPr>
        <w:t>ACUERDO</w:t>
      </w:r>
      <w:r>
        <w:rPr>
          <w:color w:val="FF0000"/>
          <w:spacing w:val="-4"/>
        </w:rPr>
        <w:t> MARCO</w:t>
      </w:r>
    </w:p>
    <w:p>
      <w:pPr>
        <w:spacing w:line="271" w:lineRule="auto" w:before="159"/>
        <w:ind w:left="963" w:right="860" w:hanging="10"/>
        <w:jc w:val="both"/>
        <w:rPr>
          <w:sz w:val="20"/>
        </w:rPr>
      </w:pPr>
      <w:r>
        <w:rPr>
          <w:sz w:val="20"/>
        </w:rPr>
        <w:t>El partido envía el formato final del FA (</w:t>
      </w:r>
      <w:r>
        <w:rPr>
          <w:i/>
          <w:sz w:val="20"/>
        </w:rPr>
        <w:t>siglas en inglés para el Acuerdo Marco) </w:t>
      </w:r>
      <w:r>
        <w:rPr>
          <w:sz w:val="20"/>
        </w:rPr>
        <w:t>al AC (</w:t>
      </w:r>
      <w:r>
        <w:rPr>
          <w:i/>
          <w:sz w:val="20"/>
        </w:rPr>
        <w:t>siglas en inglés para el Comité de Evaluación)</w:t>
      </w:r>
      <w:r>
        <w:rPr>
          <w:sz w:val="20"/>
        </w:rPr>
        <w:t>, quién preparará una lista de observaciones</w:t>
      </w:r>
      <w:r>
        <w:rPr>
          <w:spacing w:val="-1"/>
          <w:sz w:val="20"/>
        </w:rPr>
        <w:t> </w:t>
      </w:r>
      <w:r>
        <w:rPr>
          <w:sz w:val="20"/>
        </w:rPr>
        <w:t>y</w:t>
      </w:r>
      <w:r>
        <w:rPr>
          <w:spacing w:val="-1"/>
          <w:sz w:val="20"/>
        </w:rPr>
        <w:t> </w:t>
      </w:r>
      <w:r>
        <w:rPr>
          <w:sz w:val="20"/>
        </w:rPr>
        <w:t>recomendaciones</w:t>
      </w:r>
      <w:r>
        <w:rPr>
          <w:spacing w:val="-1"/>
          <w:sz w:val="20"/>
        </w:rPr>
        <w:t> </w:t>
      </w:r>
      <w:r>
        <w:rPr>
          <w:sz w:val="20"/>
        </w:rPr>
        <w:t>y</w:t>
      </w:r>
      <w:r>
        <w:rPr>
          <w:spacing w:val="-1"/>
          <w:sz w:val="20"/>
        </w:rPr>
        <w:t> </w:t>
      </w:r>
      <w:r>
        <w:rPr>
          <w:sz w:val="20"/>
        </w:rPr>
        <w:t>que</w:t>
      </w:r>
      <w:r>
        <w:rPr>
          <w:spacing w:val="-2"/>
          <w:sz w:val="20"/>
        </w:rPr>
        <w:t> </w:t>
      </w:r>
      <w:r>
        <w:rPr>
          <w:sz w:val="20"/>
        </w:rPr>
        <w:t>posteriormente</w:t>
      </w:r>
      <w:r>
        <w:rPr>
          <w:spacing w:val="-3"/>
          <w:sz w:val="20"/>
        </w:rPr>
        <w:t> </w:t>
      </w:r>
      <w:r>
        <w:rPr>
          <w:sz w:val="20"/>
        </w:rPr>
        <w:t>enviará</w:t>
      </w:r>
      <w:r>
        <w:rPr>
          <w:spacing w:val="-2"/>
          <w:sz w:val="20"/>
        </w:rPr>
        <w:t> </w:t>
      </w:r>
      <w:r>
        <w:rPr>
          <w:sz w:val="20"/>
        </w:rPr>
        <w:t>el</w:t>
      </w:r>
      <w:r>
        <w:rPr>
          <w:spacing w:val="-3"/>
          <w:sz w:val="20"/>
        </w:rPr>
        <w:t> </w:t>
      </w:r>
      <w:r>
        <w:rPr>
          <w:sz w:val="20"/>
        </w:rPr>
        <w:t>formato</w:t>
      </w:r>
      <w:r>
        <w:rPr>
          <w:spacing w:val="-2"/>
          <w:sz w:val="20"/>
        </w:rPr>
        <w:t> </w:t>
      </w:r>
      <w:r>
        <w:rPr>
          <w:sz w:val="20"/>
        </w:rPr>
        <w:t>FA</w:t>
      </w:r>
      <w:r>
        <w:rPr>
          <w:spacing w:val="-2"/>
          <w:sz w:val="20"/>
        </w:rPr>
        <w:t> </w:t>
      </w:r>
      <w:r>
        <w:rPr>
          <w:sz w:val="20"/>
        </w:rPr>
        <w:t>a la Ejecutiva de DIPD.</w:t>
      </w:r>
    </w:p>
    <w:p>
      <w:pPr>
        <w:spacing w:line="271" w:lineRule="auto" w:before="122"/>
        <w:ind w:left="963" w:right="860" w:hanging="10"/>
        <w:jc w:val="both"/>
        <w:rPr>
          <w:sz w:val="20"/>
        </w:rPr>
      </w:pPr>
      <w:r>
        <w:rPr>
          <w:sz w:val="20"/>
        </w:rPr>
        <w:t>Los formatos del FA se revisan siguiendo la ACQAC (</w:t>
      </w:r>
      <w:r>
        <w:rPr>
          <w:i/>
          <w:sz w:val="20"/>
        </w:rPr>
        <w:t>siglas en inglés para Check-</w:t>
      </w:r>
      <w:r>
        <w:rPr>
          <w:i/>
          <w:sz w:val="20"/>
        </w:rPr>
        <w:t> List de Garantía de Calidad del Comité de Evaluación</w:t>
      </w:r>
      <w:r>
        <w:rPr>
          <w:sz w:val="20"/>
        </w:rPr>
        <w:t>) (sección 1.9).</w:t>
      </w:r>
    </w:p>
    <w:p>
      <w:pPr>
        <w:pStyle w:val="BodyText"/>
        <w:rPr>
          <w:sz w:val="22"/>
        </w:rPr>
      </w:pPr>
    </w:p>
    <w:p>
      <w:pPr>
        <w:pStyle w:val="BodyText"/>
        <w:spacing w:before="4"/>
        <w:rPr>
          <w:sz w:val="22"/>
        </w:rPr>
      </w:pPr>
    </w:p>
    <w:p>
      <w:pPr>
        <w:pStyle w:val="Heading3"/>
        <w:ind w:left="968"/>
      </w:pPr>
      <w:r>
        <w:rPr>
          <w:color w:val="FF0000"/>
        </w:rPr>
        <w:t>PASO</w:t>
      </w:r>
      <w:r>
        <w:rPr>
          <w:color w:val="FF0000"/>
          <w:spacing w:val="-5"/>
        </w:rPr>
        <w:t> </w:t>
      </w:r>
      <w:r>
        <w:rPr>
          <w:color w:val="FF0000"/>
        </w:rPr>
        <w:t>4</w:t>
      </w:r>
      <w:r>
        <w:rPr>
          <w:color w:val="FF0000"/>
          <w:spacing w:val="-3"/>
        </w:rPr>
        <w:t> </w:t>
      </w:r>
      <w:r>
        <w:rPr>
          <w:color w:val="FF0000"/>
        </w:rPr>
        <w:t>–</w:t>
      </w:r>
      <w:r>
        <w:rPr>
          <w:color w:val="FF0000"/>
          <w:spacing w:val="-5"/>
        </w:rPr>
        <w:t> </w:t>
      </w:r>
      <w:r>
        <w:rPr>
          <w:color w:val="FF0000"/>
        </w:rPr>
        <w:t>RESPUESTA</w:t>
      </w:r>
      <w:r>
        <w:rPr>
          <w:color w:val="FF0000"/>
          <w:spacing w:val="-5"/>
        </w:rPr>
        <w:t> </w:t>
      </w:r>
      <w:r>
        <w:rPr>
          <w:color w:val="FF0000"/>
        </w:rPr>
        <w:t>AL</w:t>
      </w:r>
      <w:r>
        <w:rPr>
          <w:color w:val="FF0000"/>
          <w:spacing w:val="-5"/>
        </w:rPr>
        <w:t> </w:t>
      </w:r>
      <w:r>
        <w:rPr>
          <w:color w:val="FF0000"/>
        </w:rPr>
        <w:t>SOCIO</w:t>
      </w:r>
      <w:r>
        <w:rPr>
          <w:color w:val="FF0000"/>
          <w:spacing w:val="-4"/>
        </w:rPr>
        <w:t> </w:t>
      </w:r>
      <w:r>
        <w:rPr>
          <w:color w:val="FF0000"/>
        </w:rPr>
        <w:t>DEL</w:t>
      </w:r>
      <w:r>
        <w:rPr>
          <w:color w:val="FF0000"/>
          <w:spacing w:val="-2"/>
        </w:rPr>
        <w:t> ENCARGO</w:t>
      </w:r>
    </w:p>
    <w:p>
      <w:pPr>
        <w:pStyle w:val="BodyText"/>
        <w:spacing w:line="268" w:lineRule="auto" w:before="159"/>
        <w:ind w:left="963" w:right="859" w:hanging="10"/>
        <w:jc w:val="both"/>
      </w:pPr>
      <w:r>
        <w:rPr/>
        <w:t>El Socio del Encargo (EP) puede esperar una respuesta de la secretaría del DIPD poco</w:t>
      </w:r>
      <w:r>
        <w:rPr>
          <w:spacing w:val="-3"/>
        </w:rPr>
        <w:t> </w:t>
      </w:r>
      <w:r>
        <w:rPr/>
        <w:t>después</w:t>
      </w:r>
      <w:r>
        <w:rPr>
          <w:spacing w:val="-5"/>
        </w:rPr>
        <w:t> </w:t>
      </w:r>
      <w:r>
        <w:rPr/>
        <w:t>de</w:t>
      </w:r>
      <w:r>
        <w:rPr>
          <w:spacing w:val="-3"/>
        </w:rPr>
        <w:t> </w:t>
      </w:r>
      <w:r>
        <w:rPr/>
        <w:t>la</w:t>
      </w:r>
      <w:r>
        <w:rPr>
          <w:spacing w:val="-6"/>
        </w:rPr>
        <w:t> </w:t>
      </w:r>
      <w:r>
        <w:rPr/>
        <w:t>reunión</w:t>
      </w:r>
      <w:r>
        <w:rPr>
          <w:spacing w:val="-4"/>
        </w:rPr>
        <w:t> </w:t>
      </w:r>
      <w:r>
        <w:rPr/>
        <w:t>de</w:t>
      </w:r>
      <w:r>
        <w:rPr>
          <w:spacing w:val="-4"/>
        </w:rPr>
        <w:t> </w:t>
      </w:r>
      <w:r>
        <w:rPr/>
        <w:t>la</w:t>
      </w:r>
      <w:r>
        <w:rPr>
          <w:spacing w:val="-3"/>
        </w:rPr>
        <w:t> </w:t>
      </w:r>
      <w:r>
        <w:rPr/>
        <w:t>Ejecutiva</w:t>
      </w:r>
      <w:r>
        <w:rPr>
          <w:spacing w:val="-4"/>
        </w:rPr>
        <w:t> </w:t>
      </w:r>
      <w:r>
        <w:rPr/>
        <w:t>de</w:t>
      </w:r>
      <w:r>
        <w:rPr>
          <w:spacing w:val="-6"/>
        </w:rPr>
        <w:t> </w:t>
      </w:r>
      <w:r>
        <w:rPr/>
        <w:t>DIPD.</w:t>
      </w:r>
      <w:r>
        <w:rPr>
          <w:spacing w:val="-3"/>
        </w:rPr>
        <w:t> </w:t>
      </w:r>
      <w:r>
        <w:rPr/>
        <w:t>Si</w:t>
      </w:r>
      <w:r>
        <w:rPr>
          <w:spacing w:val="-4"/>
        </w:rPr>
        <w:t> </w:t>
      </w:r>
      <w:r>
        <w:rPr/>
        <w:t>se</w:t>
      </w:r>
      <w:r>
        <w:rPr>
          <w:spacing w:val="-6"/>
        </w:rPr>
        <w:t> </w:t>
      </w:r>
      <w:r>
        <w:rPr/>
        <w:t>aprueba</w:t>
      </w:r>
      <w:r>
        <w:rPr>
          <w:spacing w:val="-4"/>
        </w:rPr>
        <w:t> </w:t>
      </w:r>
      <w:r>
        <w:rPr/>
        <w:t>la</w:t>
      </w:r>
      <w:r>
        <w:rPr>
          <w:spacing w:val="-4"/>
        </w:rPr>
        <w:t> </w:t>
      </w:r>
      <w:r>
        <w:rPr/>
        <w:t>FA</w:t>
      </w:r>
      <w:r>
        <w:rPr>
          <w:spacing w:val="-4"/>
        </w:rPr>
        <w:t> </w:t>
      </w:r>
      <w:r>
        <w:rPr/>
        <w:t>(</w:t>
      </w:r>
      <w:r>
        <w:rPr>
          <w:i/>
        </w:rPr>
        <w:t>siglas</w:t>
      </w:r>
      <w:r>
        <w:rPr>
          <w:i/>
          <w:spacing w:val="-2"/>
        </w:rPr>
        <w:t> </w:t>
      </w:r>
      <w:r>
        <w:rPr>
          <w:i/>
        </w:rPr>
        <w:t>en</w:t>
      </w:r>
      <w:r>
        <w:rPr>
          <w:i/>
        </w:rPr>
        <w:t> inglés para el Acuerdo Marco)</w:t>
      </w:r>
      <w:r>
        <w:rPr/>
        <w:t>,</w:t>
      </w:r>
      <w:r>
        <w:rPr>
          <w:spacing w:val="-1"/>
        </w:rPr>
        <w:t> </w:t>
      </w:r>
      <w:r>
        <w:rPr/>
        <w:t>la secretaría enviará una</w:t>
      </w:r>
      <w:r>
        <w:rPr>
          <w:spacing w:val="-2"/>
        </w:rPr>
        <w:t> </w:t>
      </w:r>
      <w:r>
        <w:rPr/>
        <w:t>carta de aprobación. Para obtener más información sobre la transferencia y el uso de fondos, consulte la sección 2 sobre </w:t>
      </w:r>
      <w:r>
        <w:rPr>
          <w:b/>
        </w:rPr>
        <w:t>Administración de la subvención</w:t>
      </w:r>
      <w:r>
        <w:rPr/>
        <w:t>.</w:t>
      </w:r>
    </w:p>
    <w:p>
      <w:pPr>
        <w:pStyle w:val="BodyText"/>
        <w:spacing w:before="4"/>
        <w:rPr>
          <w:sz w:val="24"/>
        </w:rPr>
      </w:pPr>
    </w:p>
    <w:p>
      <w:pPr>
        <w:pStyle w:val="Heading2"/>
        <w:numPr>
          <w:ilvl w:val="1"/>
          <w:numId w:val="4"/>
        </w:numPr>
        <w:tabs>
          <w:tab w:pos="721" w:val="left" w:leader="none"/>
          <w:tab w:pos="722" w:val="left" w:leader="none"/>
        </w:tabs>
        <w:spacing w:line="240" w:lineRule="auto" w:before="0" w:after="0"/>
        <w:ind w:left="721" w:right="0" w:hanging="620"/>
        <w:jc w:val="left"/>
      </w:pPr>
      <w:bookmarkStart w:name="_TOC_250020" w:id="13"/>
      <w:r>
        <w:rPr>
          <w:color w:val="FF0000"/>
        </w:rPr>
        <w:t>CRITERIOS</w:t>
      </w:r>
      <w:r>
        <w:rPr>
          <w:color w:val="FF0000"/>
          <w:spacing w:val="-3"/>
        </w:rPr>
        <w:t> </w:t>
      </w:r>
      <w:r>
        <w:rPr>
          <w:color w:val="FF0000"/>
        </w:rPr>
        <w:t>DE</w:t>
      </w:r>
      <w:r>
        <w:rPr>
          <w:color w:val="FF0000"/>
          <w:spacing w:val="-4"/>
        </w:rPr>
        <w:t> </w:t>
      </w:r>
      <w:bookmarkEnd w:id="13"/>
      <w:r>
        <w:rPr>
          <w:color w:val="FF0000"/>
          <w:spacing w:val="-2"/>
        </w:rPr>
        <w:t>EVALUACIÓN</w:t>
      </w:r>
    </w:p>
    <w:p>
      <w:pPr>
        <w:pStyle w:val="BodyText"/>
        <w:spacing w:line="268" w:lineRule="auto" w:before="187"/>
        <w:ind w:left="963" w:right="864" w:hanging="10"/>
        <w:jc w:val="both"/>
      </w:pPr>
      <w:r>
        <w:rPr/>
        <w:t>La decisión sobre la concesión de la subvención se basa en una valoración global del FA (</w:t>
      </w:r>
      <w:r>
        <w:rPr>
          <w:i/>
        </w:rPr>
        <w:t>siglas en inglés para el Acuerdo Marco)</w:t>
      </w:r>
      <w:r>
        <w:rPr/>
        <w:t>, con un punto de partida en los principios que son la base de las iniciativas financiadas por DIPD. Los parámetros generales serán una evaluación de:</w:t>
      </w:r>
    </w:p>
    <w:p>
      <w:pPr>
        <w:pStyle w:val="BodyText"/>
        <w:spacing w:line="271" w:lineRule="auto" w:before="182"/>
        <w:ind w:left="963" w:right="871" w:hanging="10"/>
        <w:jc w:val="both"/>
      </w:pPr>
      <w:r>
        <w:rPr/>
        <w:pict>
          <v:line style="position:absolute;mso-position-horizontal-relative:page;mso-position-vertical-relative:paragraph;z-index:15737856" from="111.949997pt,93.799881pt" to="249.499997pt,93.799881pt" stroked="true" strokeweight=".96pt" strokecolor="#000000">
            <v:stroke dashstyle="shortdot"/>
            <w10:wrap type="none"/>
          </v:line>
        </w:pict>
      </w:r>
      <w:r>
        <w:rPr/>
        <w:t>→ En qué medida el Partido danés ha completado la plantilla de FA y ha cumplido con sus especificaciones técnicas y las que figuran en las directrices de DIPD.</w:t>
      </w:r>
    </w:p>
    <w:p>
      <w:pPr>
        <w:spacing w:after="0" w:line="271" w:lineRule="auto"/>
        <w:jc w:val="both"/>
        <w:sectPr>
          <w:headerReference w:type="default" r:id="rId19"/>
          <w:footerReference w:type="default" r:id="rId20"/>
          <w:pgSz w:w="11910" w:h="16850"/>
          <w:pgMar w:header="718" w:footer="843" w:top="940" w:bottom="1040" w:left="1300" w:right="1400"/>
        </w:sectPr>
      </w:pPr>
    </w:p>
    <w:p>
      <w:pPr>
        <w:pStyle w:val="BodyText"/>
        <w:spacing w:line="271" w:lineRule="auto" w:before="182"/>
        <w:ind w:left="963" w:right="858" w:hanging="10"/>
        <w:jc w:val="both"/>
      </w:pPr>
      <w:r>
        <w:rPr>
          <w:color w:val="FF0000"/>
        </w:rPr>
        <w:t>→ </w:t>
      </w:r>
      <w:r>
        <w:rPr/>
        <w:t>En qué medida el Partido danés ha descrito cómo sus esfuerzos colectivos contribuyen</w:t>
      </w:r>
      <w:r>
        <w:rPr>
          <w:spacing w:val="-7"/>
        </w:rPr>
        <w:t> </w:t>
      </w:r>
      <w:r>
        <w:rPr/>
        <w:t>al</w:t>
      </w:r>
      <w:r>
        <w:rPr>
          <w:spacing w:val="-10"/>
        </w:rPr>
        <w:t> </w:t>
      </w:r>
      <w:r>
        <w:rPr/>
        <w:t>cumplimiento</w:t>
      </w:r>
      <w:r>
        <w:rPr>
          <w:spacing w:val="-9"/>
        </w:rPr>
        <w:t> </w:t>
      </w:r>
      <w:r>
        <w:rPr/>
        <w:t>de</w:t>
      </w:r>
      <w:r>
        <w:rPr>
          <w:spacing w:val="-7"/>
        </w:rPr>
        <w:t> </w:t>
      </w:r>
      <w:r>
        <w:rPr/>
        <w:t>la</w:t>
      </w:r>
      <w:r>
        <w:rPr>
          <w:spacing w:val="-9"/>
        </w:rPr>
        <w:t> </w:t>
      </w:r>
      <w:r>
        <w:rPr/>
        <w:t>estrategia</w:t>
      </w:r>
      <w:r>
        <w:rPr>
          <w:spacing w:val="-7"/>
        </w:rPr>
        <w:t> </w:t>
      </w:r>
      <w:r>
        <w:rPr/>
        <w:t>de</w:t>
      </w:r>
      <w:r>
        <w:rPr>
          <w:spacing w:val="-9"/>
        </w:rPr>
        <w:t> </w:t>
      </w:r>
      <w:r>
        <w:rPr/>
        <w:t>DIPD,</w:t>
      </w:r>
      <w:r>
        <w:rPr>
          <w:spacing w:val="-4"/>
        </w:rPr>
        <w:t> </w:t>
      </w:r>
      <w:r>
        <w:rPr/>
        <w:t>incluyendo</w:t>
      </w:r>
      <w:r>
        <w:rPr>
          <w:spacing w:val="-7"/>
        </w:rPr>
        <w:t> </w:t>
      </w:r>
      <w:r>
        <w:rPr/>
        <w:t>la</w:t>
      </w:r>
      <w:r>
        <w:rPr>
          <w:spacing w:val="-9"/>
        </w:rPr>
        <w:t> </w:t>
      </w:r>
      <w:r>
        <w:rPr/>
        <w:t>forma</w:t>
      </w:r>
      <w:r>
        <w:rPr>
          <w:spacing w:val="-7"/>
        </w:rPr>
        <w:t> </w:t>
      </w:r>
      <w:r>
        <w:rPr/>
        <w:t>en</w:t>
      </w:r>
      <w:r>
        <w:rPr>
          <w:spacing w:val="-7"/>
        </w:rPr>
        <w:t> </w:t>
      </w:r>
      <w:r>
        <w:rPr/>
        <w:t>la</w:t>
      </w:r>
      <w:r>
        <w:rPr>
          <w:spacing w:val="-7"/>
        </w:rPr>
        <w:t> </w:t>
      </w:r>
      <w:r>
        <w:rPr/>
        <w:t>que el partido danés pretende trabajar hacia objetivos estratégicos seleccionados.</w:t>
      </w:r>
    </w:p>
    <w:p>
      <w:pPr>
        <w:pStyle w:val="BodyText"/>
        <w:spacing w:line="271" w:lineRule="auto" w:before="176"/>
        <w:ind w:left="978" w:right="866" w:hanging="10"/>
        <w:jc w:val="both"/>
      </w:pPr>
      <w:r>
        <w:rPr>
          <w:color w:val="FF0000"/>
        </w:rPr>
        <w:t>→</w:t>
      </w:r>
      <w:r>
        <w:rPr>
          <w:color w:val="FF0000"/>
          <w:spacing w:val="-4"/>
        </w:rPr>
        <w:t> </w:t>
      </w:r>
      <w:r>
        <w:rPr/>
        <w:t>En</w:t>
      </w:r>
      <w:r>
        <w:rPr>
          <w:spacing w:val="-5"/>
        </w:rPr>
        <w:t> </w:t>
      </w:r>
      <w:r>
        <w:rPr/>
        <w:t>qué</w:t>
      </w:r>
      <w:r>
        <w:rPr>
          <w:spacing w:val="-4"/>
        </w:rPr>
        <w:t> </w:t>
      </w:r>
      <w:r>
        <w:rPr/>
        <w:t>medida</w:t>
      </w:r>
      <w:r>
        <w:rPr>
          <w:spacing w:val="-4"/>
        </w:rPr>
        <w:t> </w:t>
      </w:r>
      <w:r>
        <w:rPr/>
        <w:t>en</w:t>
      </w:r>
      <w:r>
        <w:rPr>
          <w:spacing w:val="-5"/>
        </w:rPr>
        <w:t> </w:t>
      </w:r>
      <w:r>
        <w:rPr/>
        <w:t>el</w:t>
      </w:r>
      <w:r>
        <w:rPr>
          <w:spacing w:val="-3"/>
        </w:rPr>
        <w:t> </w:t>
      </w:r>
      <w:r>
        <w:rPr/>
        <w:t>Partido</w:t>
      </w:r>
      <w:r>
        <w:rPr>
          <w:spacing w:val="-5"/>
        </w:rPr>
        <w:t> </w:t>
      </w:r>
      <w:r>
        <w:rPr/>
        <w:t>danés</w:t>
      </w:r>
      <w:r>
        <w:rPr>
          <w:spacing w:val="-3"/>
        </w:rPr>
        <w:t> </w:t>
      </w:r>
      <w:r>
        <w:rPr/>
        <w:t>ha</w:t>
      </w:r>
      <w:r>
        <w:rPr>
          <w:spacing w:val="-5"/>
        </w:rPr>
        <w:t> </w:t>
      </w:r>
      <w:r>
        <w:rPr/>
        <w:t>presentado</w:t>
      </w:r>
      <w:r>
        <w:rPr>
          <w:spacing w:val="-5"/>
        </w:rPr>
        <w:t> </w:t>
      </w:r>
      <w:r>
        <w:rPr/>
        <w:t>un</w:t>
      </w:r>
      <w:r>
        <w:rPr>
          <w:spacing w:val="-7"/>
        </w:rPr>
        <w:t> </w:t>
      </w:r>
      <w:r>
        <w:rPr/>
        <w:t>plan</w:t>
      </w:r>
      <w:r>
        <w:rPr>
          <w:spacing w:val="-7"/>
        </w:rPr>
        <w:t> </w:t>
      </w:r>
      <w:r>
        <w:rPr/>
        <w:t>claro</w:t>
      </w:r>
      <w:r>
        <w:rPr>
          <w:spacing w:val="-6"/>
        </w:rPr>
        <w:t> </w:t>
      </w:r>
      <w:r>
        <w:rPr/>
        <w:t>y</w:t>
      </w:r>
      <w:r>
        <w:rPr>
          <w:spacing w:val="-3"/>
        </w:rPr>
        <w:t> </w:t>
      </w:r>
      <w:r>
        <w:rPr/>
        <w:t>coherente</w:t>
      </w:r>
      <w:r>
        <w:rPr>
          <w:spacing w:val="-5"/>
        </w:rPr>
        <w:t> </w:t>
      </w:r>
      <w:r>
        <w:rPr/>
        <w:t>con respecto a su acción durante el período de la estrategia y / o planes para evaluar nuevas oportunidades junto con otros actores en DIPD.</w:t>
      </w:r>
    </w:p>
    <w:p>
      <w:pPr>
        <w:pStyle w:val="BodyText"/>
        <w:spacing w:line="271" w:lineRule="auto" w:before="175"/>
        <w:ind w:left="978" w:right="869" w:hanging="10"/>
        <w:jc w:val="both"/>
      </w:pPr>
      <w:r>
        <w:rPr>
          <w:color w:val="FF0000"/>
        </w:rPr>
        <w:t>→</w:t>
      </w:r>
      <w:r>
        <w:rPr>
          <w:color w:val="FF0000"/>
          <w:spacing w:val="-6"/>
        </w:rPr>
        <w:t> </w:t>
      </w:r>
      <w:r>
        <w:rPr/>
        <w:t>En</w:t>
      </w:r>
      <w:r>
        <w:rPr>
          <w:spacing w:val="-7"/>
        </w:rPr>
        <w:t> </w:t>
      </w:r>
      <w:r>
        <w:rPr/>
        <w:t>qué</w:t>
      </w:r>
      <w:r>
        <w:rPr>
          <w:spacing w:val="-7"/>
        </w:rPr>
        <w:t> </w:t>
      </w:r>
      <w:r>
        <w:rPr/>
        <w:t>medida</w:t>
      </w:r>
      <w:r>
        <w:rPr>
          <w:spacing w:val="-7"/>
        </w:rPr>
        <w:t> </w:t>
      </w:r>
      <w:r>
        <w:rPr/>
        <w:t>el</w:t>
      </w:r>
      <w:r>
        <w:rPr>
          <w:spacing w:val="-7"/>
        </w:rPr>
        <w:t> </w:t>
      </w:r>
      <w:r>
        <w:rPr/>
        <w:t>partido</w:t>
      </w:r>
      <w:r>
        <w:rPr>
          <w:spacing w:val="-7"/>
        </w:rPr>
        <w:t> </w:t>
      </w:r>
      <w:r>
        <w:rPr/>
        <w:t>danés</w:t>
      </w:r>
      <w:r>
        <w:rPr>
          <w:spacing w:val="-6"/>
        </w:rPr>
        <w:t> </w:t>
      </w:r>
      <w:r>
        <w:rPr/>
        <w:t>ha</w:t>
      </w:r>
      <w:r>
        <w:rPr>
          <w:spacing w:val="-7"/>
        </w:rPr>
        <w:t> </w:t>
      </w:r>
      <w:r>
        <w:rPr/>
        <w:t>descrito</w:t>
      </w:r>
      <w:r>
        <w:rPr>
          <w:spacing w:val="-7"/>
        </w:rPr>
        <w:t> </w:t>
      </w:r>
      <w:r>
        <w:rPr/>
        <w:t>cómo</w:t>
      </w:r>
      <w:r>
        <w:rPr>
          <w:spacing w:val="-7"/>
        </w:rPr>
        <w:t> </w:t>
      </w:r>
      <w:r>
        <w:rPr/>
        <w:t>pretende</w:t>
      </w:r>
      <w:r>
        <w:rPr>
          <w:spacing w:val="-7"/>
        </w:rPr>
        <w:t> </w:t>
      </w:r>
      <w:r>
        <w:rPr/>
        <w:t>estar</w:t>
      </w:r>
      <w:r>
        <w:rPr>
          <w:spacing w:val="-6"/>
        </w:rPr>
        <w:t> </w:t>
      </w:r>
      <w:r>
        <w:rPr/>
        <w:t>disponible</w:t>
      </w:r>
      <w:r>
        <w:rPr>
          <w:spacing w:val="-7"/>
        </w:rPr>
        <w:t> </w:t>
      </w:r>
      <w:r>
        <w:rPr/>
        <w:t>para colaboraciones multipartidistas en DIPD.</w:t>
      </w:r>
    </w:p>
    <w:p>
      <w:pPr>
        <w:pStyle w:val="BodyText"/>
        <w:spacing w:line="271" w:lineRule="auto" w:before="32"/>
        <w:ind w:left="978" w:right="864" w:hanging="10"/>
        <w:jc w:val="both"/>
      </w:pPr>
      <w:r>
        <w:rPr>
          <w:color w:val="FF0000"/>
        </w:rPr>
        <w:t>→ </w:t>
      </w:r>
      <w:r>
        <w:rPr/>
        <w:t>En qué medida el Partido danés presenta un plan lógico, coherente y transparente para implementar su programa, incluyendo cómo las actividades propuestas están ancladas al partido, los recursos de personal destinados al programa y la cantidad y gasto de apoyo administrativo necesario para garantizar una administración eficaz de las subvenciones.</w:t>
      </w:r>
    </w:p>
    <w:p>
      <w:pPr>
        <w:pStyle w:val="BodyText"/>
        <w:spacing w:line="271" w:lineRule="auto" w:before="31"/>
        <w:ind w:left="978" w:right="868" w:hanging="10"/>
        <w:jc w:val="both"/>
      </w:pPr>
      <w:r>
        <w:rPr>
          <w:color w:val="FF0000"/>
        </w:rPr>
        <w:t>→</w:t>
      </w:r>
      <w:r>
        <w:rPr>
          <w:color w:val="FF0000"/>
          <w:spacing w:val="-9"/>
        </w:rPr>
        <w:t> </w:t>
      </w:r>
      <w:r>
        <w:rPr/>
        <w:t>En</w:t>
      </w:r>
      <w:r>
        <w:rPr>
          <w:spacing w:val="-7"/>
        </w:rPr>
        <w:t> </w:t>
      </w:r>
      <w:r>
        <w:rPr/>
        <w:t>qué</w:t>
      </w:r>
      <w:r>
        <w:rPr>
          <w:spacing w:val="-9"/>
        </w:rPr>
        <w:t> </w:t>
      </w:r>
      <w:r>
        <w:rPr/>
        <w:t>medida</w:t>
      </w:r>
      <w:r>
        <w:rPr>
          <w:spacing w:val="-7"/>
        </w:rPr>
        <w:t> </w:t>
      </w:r>
      <w:r>
        <w:rPr/>
        <w:t>la</w:t>
      </w:r>
      <w:r>
        <w:rPr>
          <w:spacing w:val="-7"/>
        </w:rPr>
        <w:t> </w:t>
      </w:r>
      <w:r>
        <w:rPr/>
        <w:t>parte</w:t>
      </w:r>
      <w:r>
        <w:rPr>
          <w:spacing w:val="-7"/>
        </w:rPr>
        <w:t> </w:t>
      </w:r>
      <w:r>
        <w:rPr/>
        <w:t>danesa</w:t>
      </w:r>
      <w:r>
        <w:rPr>
          <w:spacing w:val="-7"/>
        </w:rPr>
        <w:t> </w:t>
      </w:r>
      <w:r>
        <w:rPr/>
        <w:t>presenta</w:t>
      </w:r>
      <w:r>
        <w:rPr>
          <w:spacing w:val="-9"/>
        </w:rPr>
        <w:t> </w:t>
      </w:r>
      <w:r>
        <w:rPr/>
        <w:t>cómo</w:t>
      </w:r>
      <w:r>
        <w:rPr>
          <w:spacing w:val="-9"/>
        </w:rPr>
        <w:t> </w:t>
      </w:r>
      <w:r>
        <w:rPr/>
        <w:t>analizará</w:t>
      </w:r>
      <w:r>
        <w:rPr>
          <w:spacing w:val="-9"/>
        </w:rPr>
        <w:t> </w:t>
      </w:r>
      <w:r>
        <w:rPr/>
        <w:t>y</w:t>
      </w:r>
      <w:r>
        <w:rPr>
          <w:spacing w:val="-8"/>
        </w:rPr>
        <w:t> </w:t>
      </w:r>
      <w:r>
        <w:rPr/>
        <w:t>gestionará</w:t>
      </w:r>
      <w:r>
        <w:rPr>
          <w:spacing w:val="-9"/>
        </w:rPr>
        <w:t> </w:t>
      </w:r>
      <w:r>
        <w:rPr/>
        <w:t>los</w:t>
      </w:r>
      <w:r>
        <w:rPr>
          <w:spacing w:val="-8"/>
        </w:rPr>
        <w:t> </w:t>
      </w:r>
      <w:r>
        <w:rPr/>
        <w:t>riesgos en sus asociaciones con partidos en países en desarrollo.</w:t>
      </w:r>
    </w:p>
    <w:p>
      <w:pPr>
        <w:pStyle w:val="BodyText"/>
        <w:spacing w:before="4"/>
        <w:rPr>
          <w:sz w:val="28"/>
        </w:rPr>
      </w:pPr>
    </w:p>
    <w:p>
      <w:pPr>
        <w:pStyle w:val="Heading2"/>
        <w:numPr>
          <w:ilvl w:val="1"/>
          <w:numId w:val="4"/>
        </w:numPr>
        <w:tabs>
          <w:tab w:pos="989" w:val="left" w:leader="none"/>
          <w:tab w:pos="990" w:val="left" w:leader="none"/>
        </w:tabs>
        <w:spacing w:line="240" w:lineRule="auto" w:before="0" w:after="0"/>
        <w:ind w:left="990" w:right="0" w:hanging="888"/>
        <w:jc w:val="left"/>
      </w:pPr>
      <w:bookmarkStart w:name="_TOC_250019" w:id="14"/>
      <w:r>
        <w:rPr>
          <w:color w:val="FF0000"/>
        </w:rPr>
        <w:t>UNA</w:t>
      </w:r>
      <w:r>
        <w:rPr>
          <w:color w:val="FF0000"/>
          <w:spacing w:val="-4"/>
        </w:rPr>
        <w:t> </w:t>
      </w:r>
      <w:r>
        <w:rPr>
          <w:color w:val="FF0000"/>
        </w:rPr>
        <w:t>VEZ</w:t>
      </w:r>
      <w:r>
        <w:rPr>
          <w:color w:val="FF0000"/>
          <w:spacing w:val="-3"/>
        </w:rPr>
        <w:t> </w:t>
      </w:r>
      <w:r>
        <w:rPr>
          <w:color w:val="FF0000"/>
        </w:rPr>
        <w:t>EL</w:t>
      </w:r>
      <w:r>
        <w:rPr>
          <w:color w:val="FF0000"/>
          <w:spacing w:val="-6"/>
        </w:rPr>
        <w:t> </w:t>
      </w:r>
      <w:r>
        <w:rPr>
          <w:color w:val="FF0000"/>
        </w:rPr>
        <w:t>ACUERDO</w:t>
      </w:r>
      <w:r>
        <w:rPr>
          <w:color w:val="FF0000"/>
          <w:spacing w:val="-1"/>
        </w:rPr>
        <w:t> </w:t>
      </w:r>
      <w:r>
        <w:rPr>
          <w:color w:val="FF0000"/>
        </w:rPr>
        <w:t>MARCO</w:t>
      </w:r>
      <w:r>
        <w:rPr>
          <w:color w:val="FF0000"/>
          <w:spacing w:val="-4"/>
        </w:rPr>
        <w:t> </w:t>
      </w:r>
      <w:r>
        <w:rPr>
          <w:color w:val="FF0000"/>
        </w:rPr>
        <w:t>ESTÁ</w:t>
      </w:r>
      <w:r>
        <w:rPr>
          <w:color w:val="FF0000"/>
          <w:spacing w:val="-3"/>
        </w:rPr>
        <w:t> </w:t>
      </w:r>
      <w:bookmarkEnd w:id="14"/>
      <w:r>
        <w:rPr>
          <w:color w:val="FF0000"/>
          <w:spacing w:val="-2"/>
        </w:rPr>
        <w:t>APROVADO</w:t>
      </w:r>
    </w:p>
    <w:p>
      <w:pPr>
        <w:pStyle w:val="BodyText"/>
        <w:spacing w:line="271" w:lineRule="auto" w:before="208"/>
        <w:ind w:left="963" w:right="857" w:hanging="10"/>
        <w:jc w:val="both"/>
      </w:pPr>
      <w:r>
        <w:rPr/>
        <w:t>Si la ejecutiva de DIPD añade comentarios que exigen cambios del FA (</w:t>
      </w:r>
      <w:r>
        <w:rPr>
          <w:i/>
        </w:rPr>
        <w:t>siglas en</w:t>
      </w:r>
      <w:r>
        <w:rPr>
          <w:i/>
        </w:rPr>
        <w:t> inglés para el Acuerdo Marco), </w:t>
      </w:r>
      <w:r>
        <w:rPr/>
        <w:t>estos cambios deben hacerse consultando a la secretaría de DIPD antes de que los fondos sean transferidos.</w:t>
      </w:r>
    </w:p>
    <w:p>
      <w:pPr>
        <w:pStyle w:val="Heading3"/>
        <w:numPr>
          <w:ilvl w:val="2"/>
          <w:numId w:val="4"/>
        </w:numPr>
        <w:tabs>
          <w:tab w:pos="619" w:val="left" w:leader="none"/>
        </w:tabs>
        <w:spacing w:line="240" w:lineRule="auto" w:before="123" w:after="0"/>
        <w:ind w:left="618" w:right="0" w:hanging="503"/>
        <w:jc w:val="left"/>
      </w:pPr>
      <w:r>
        <w:rPr>
          <w:color w:val="FF0000"/>
        </w:rPr>
        <w:t>ORIENTACIÓN</w:t>
      </w:r>
      <w:r>
        <w:rPr>
          <w:color w:val="FF0000"/>
          <w:spacing w:val="-8"/>
        </w:rPr>
        <w:t> </w:t>
      </w:r>
      <w:r>
        <w:rPr>
          <w:color w:val="FF0000"/>
        </w:rPr>
        <w:t>GENERAL</w:t>
      </w:r>
      <w:r>
        <w:rPr>
          <w:color w:val="FF0000"/>
          <w:spacing w:val="-6"/>
        </w:rPr>
        <w:t> </w:t>
      </w:r>
      <w:r>
        <w:rPr>
          <w:color w:val="FF0000"/>
        </w:rPr>
        <w:t>EN</w:t>
      </w:r>
      <w:r>
        <w:rPr>
          <w:color w:val="FF0000"/>
          <w:spacing w:val="-5"/>
        </w:rPr>
        <w:t> </w:t>
      </w:r>
      <w:r>
        <w:rPr>
          <w:color w:val="FF0000"/>
        </w:rPr>
        <w:t>EL</w:t>
      </w:r>
      <w:r>
        <w:rPr>
          <w:color w:val="FF0000"/>
          <w:spacing w:val="-8"/>
        </w:rPr>
        <w:t> </w:t>
      </w:r>
      <w:r>
        <w:rPr>
          <w:color w:val="FF0000"/>
        </w:rPr>
        <w:t>DESAROLLO</w:t>
      </w:r>
      <w:r>
        <w:rPr>
          <w:color w:val="FF0000"/>
          <w:spacing w:val="-7"/>
        </w:rPr>
        <w:t> </w:t>
      </w:r>
      <w:r>
        <w:rPr>
          <w:color w:val="FF0000"/>
        </w:rPr>
        <w:t>DEL</w:t>
      </w:r>
      <w:r>
        <w:rPr>
          <w:color w:val="FF0000"/>
          <w:spacing w:val="-6"/>
        </w:rPr>
        <w:t> </w:t>
      </w:r>
      <w:r>
        <w:rPr>
          <w:color w:val="FF0000"/>
          <w:spacing w:val="-2"/>
        </w:rPr>
        <w:t>PRESUPUESTO</w:t>
      </w:r>
    </w:p>
    <w:p>
      <w:pPr>
        <w:pStyle w:val="BodyText"/>
        <w:spacing w:line="268" w:lineRule="auto" w:before="162"/>
        <w:ind w:left="963" w:right="862" w:hanging="10"/>
        <w:jc w:val="both"/>
      </w:pPr>
      <w:r>
        <w:rPr/>
        <w:t>Hacer presupuestos basados en resultados puede definirse como la práctica de elaborar presupuestos basados en la relación entre la financiación y los resultados deseados. Aumenta la visibilidad de cómo las políticas de DIPD se traducen en gasto y se centra en los resultados de una actividad financiada.</w:t>
      </w:r>
    </w:p>
    <w:p>
      <w:pPr>
        <w:spacing w:line="271" w:lineRule="auto" w:before="128"/>
        <w:ind w:left="963" w:right="862" w:hanging="10"/>
        <w:jc w:val="both"/>
        <w:rPr>
          <w:sz w:val="20"/>
        </w:rPr>
      </w:pPr>
      <w:r>
        <w:rPr>
          <w:sz w:val="20"/>
        </w:rPr>
        <w:t>Cualquier</w:t>
      </w:r>
      <w:r>
        <w:rPr>
          <w:spacing w:val="-11"/>
          <w:sz w:val="20"/>
        </w:rPr>
        <w:t> </w:t>
      </w:r>
      <w:r>
        <w:rPr>
          <w:sz w:val="20"/>
        </w:rPr>
        <w:t>FA</w:t>
      </w:r>
      <w:r>
        <w:rPr>
          <w:spacing w:val="-12"/>
          <w:sz w:val="20"/>
        </w:rPr>
        <w:t> </w:t>
      </w:r>
      <w:r>
        <w:rPr>
          <w:sz w:val="20"/>
        </w:rPr>
        <w:t>(</w:t>
      </w:r>
      <w:r>
        <w:rPr>
          <w:i/>
          <w:sz w:val="20"/>
        </w:rPr>
        <w:t>siglas</w:t>
      </w:r>
      <w:r>
        <w:rPr>
          <w:i/>
          <w:spacing w:val="-10"/>
          <w:sz w:val="20"/>
        </w:rPr>
        <w:t> </w:t>
      </w:r>
      <w:r>
        <w:rPr>
          <w:i/>
          <w:sz w:val="20"/>
        </w:rPr>
        <w:t>en</w:t>
      </w:r>
      <w:r>
        <w:rPr>
          <w:i/>
          <w:spacing w:val="-7"/>
          <w:sz w:val="20"/>
        </w:rPr>
        <w:t> </w:t>
      </w:r>
      <w:r>
        <w:rPr>
          <w:i/>
          <w:sz w:val="20"/>
        </w:rPr>
        <w:t>inglés</w:t>
      </w:r>
      <w:r>
        <w:rPr>
          <w:i/>
          <w:spacing w:val="-10"/>
          <w:sz w:val="20"/>
        </w:rPr>
        <w:t> </w:t>
      </w:r>
      <w:r>
        <w:rPr>
          <w:i/>
          <w:sz w:val="20"/>
        </w:rPr>
        <w:t>para</w:t>
      </w:r>
      <w:r>
        <w:rPr>
          <w:i/>
          <w:spacing w:val="-9"/>
          <w:sz w:val="20"/>
        </w:rPr>
        <w:t> </w:t>
      </w:r>
      <w:r>
        <w:rPr>
          <w:i/>
          <w:sz w:val="20"/>
        </w:rPr>
        <w:t>el</w:t>
      </w:r>
      <w:r>
        <w:rPr>
          <w:i/>
          <w:spacing w:val="-10"/>
          <w:sz w:val="20"/>
        </w:rPr>
        <w:t> </w:t>
      </w:r>
      <w:r>
        <w:rPr>
          <w:i/>
          <w:sz w:val="20"/>
        </w:rPr>
        <w:t>Acuerdo</w:t>
      </w:r>
      <w:r>
        <w:rPr>
          <w:i/>
          <w:spacing w:val="-9"/>
          <w:sz w:val="20"/>
        </w:rPr>
        <w:t> </w:t>
      </w:r>
      <w:r>
        <w:rPr>
          <w:i/>
          <w:sz w:val="20"/>
        </w:rPr>
        <w:t>Marco),</w:t>
      </w:r>
      <w:r>
        <w:rPr>
          <w:i/>
          <w:spacing w:val="-5"/>
          <w:sz w:val="20"/>
        </w:rPr>
        <w:t> </w:t>
      </w:r>
      <w:r>
        <w:rPr>
          <w:sz w:val="20"/>
        </w:rPr>
        <w:t>debe</w:t>
      </w:r>
      <w:r>
        <w:rPr>
          <w:spacing w:val="-10"/>
          <w:sz w:val="20"/>
        </w:rPr>
        <w:t> </w:t>
      </w:r>
      <w:r>
        <w:rPr>
          <w:sz w:val="20"/>
        </w:rPr>
        <w:t>contribuir</w:t>
      </w:r>
      <w:r>
        <w:rPr>
          <w:spacing w:val="-8"/>
          <w:sz w:val="20"/>
        </w:rPr>
        <w:t> </w:t>
      </w:r>
      <w:r>
        <w:rPr>
          <w:sz w:val="20"/>
        </w:rPr>
        <w:t>al</w:t>
      </w:r>
      <w:r>
        <w:rPr>
          <w:spacing w:val="-10"/>
          <w:sz w:val="20"/>
        </w:rPr>
        <w:t> </w:t>
      </w:r>
      <w:r>
        <w:rPr>
          <w:sz w:val="20"/>
        </w:rPr>
        <w:t>alcance</w:t>
      </w:r>
      <w:r>
        <w:rPr>
          <w:spacing w:val="-9"/>
          <w:sz w:val="20"/>
        </w:rPr>
        <w:t> </w:t>
      </w:r>
      <w:r>
        <w:rPr>
          <w:sz w:val="20"/>
        </w:rPr>
        <w:t>de los cinco objetivos estratégicos del DIPD:</w:t>
      </w:r>
    </w:p>
    <w:p>
      <w:pPr>
        <w:pStyle w:val="ListParagraph"/>
        <w:numPr>
          <w:ilvl w:val="3"/>
          <w:numId w:val="4"/>
        </w:numPr>
        <w:tabs>
          <w:tab w:pos="1175" w:val="left" w:leader="none"/>
        </w:tabs>
        <w:spacing w:line="240" w:lineRule="auto" w:before="126" w:after="0"/>
        <w:ind w:left="1174" w:right="0" w:hanging="221"/>
        <w:jc w:val="both"/>
        <w:rPr>
          <w:sz w:val="20"/>
        </w:rPr>
      </w:pPr>
      <w:r>
        <w:rPr>
          <w:sz w:val="20"/>
        </w:rPr>
        <w:t>Los</w:t>
      </w:r>
      <w:r>
        <w:rPr>
          <w:spacing w:val="-7"/>
          <w:sz w:val="20"/>
        </w:rPr>
        <w:t> </w:t>
      </w:r>
      <w:r>
        <w:rPr>
          <w:sz w:val="20"/>
        </w:rPr>
        <w:t>partidos</w:t>
      </w:r>
      <w:r>
        <w:rPr>
          <w:spacing w:val="-8"/>
          <w:sz w:val="20"/>
        </w:rPr>
        <w:t> </w:t>
      </w:r>
      <w:r>
        <w:rPr>
          <w:sz w:val="20"/>
        </w:rPr>
        <w:t>políticos</w:t>
      </w:r>
      <w:r>
        <w:rPr>
          <w:spacing w:val="-5"/>
          <w:sz w:val="20"/>
        </w:rPr>
        <w:t> </w:t>
      </w:r>
      <w:r>
        <w:rPr>
          <w:sz w:val="20"/>
        </w:rPr>
        <w:t>formulan</w:t>
      </w:r>
      <w:r>
        <w:rPr>
          <w:spacing w:val="-10"/>
          <w:sz w:val="20"/>
        </w:rPr>
        <w:t> </w:t>
      </w:r>
      <w:r>
        <w:rPr>
          <w:sz w:val="20"/>
        </w:rPr>
        <w:t>y</w:t>
      </w:r>
      <w:r>
        <w:rPr>
          <w:spacing w:val="-8"/>
          <w:sz w:val="20"/>
        </w:rPr>
        <w:t> </w:t>
      </w:r>
      <w:r>
        <w:rPr>
          <w:sz w:val="20"/>
        </w:rPr>
        <w:t>comunican</w:t>
      </w:r>
      <w:r>
        <w:rPr>
          <w:spacing w:val="-9"/>
          <w:sz w:val="20"/>
        </w:rPr>
        <w:t> </w:t>
      </w:r>
      <w:r>
        <w:rPr>
          <w:sz w:val="20"/>
        </w:rPr>
        <w:t>soluciones</w:t>
      </w:r>
      <w:r>
        <w:rPr>
          <w:spacing w:val="-8"/>
          <w:sz w:val="20"/>
        </w:rPr>
        <w:t> </w:t>
      </w:r>
      <w:r>
        <w:rPr>
          <w:spacing w:val="-2"/>
          <w:sz w:val="20"/>
        </w:rPr>
        <w:t>políticas.</w:t>
      </w:r>
    </w:p>
    <w:p>
      <w:pPr>
        <w:pStyle w:val="ListParagraph"/>
        <w:numPr>
          <w:ilvl w:val="3"/>
          <w:numId w:val="4"/>
        </w:numPr>
        <w:tabs>
          <w:tab w:pos="1175" w:val="left" w:leader="none"/>
        </w:tabs>
        <w:spacing w:line="240" w:lineRule="auto" w:before="154" w:after="0"/>
        <w:ind w:left="1174" w:right="0" w:hanging="221"/>
        <w:jc w:val="both"/>
        <w:rPr>
          <w:sz w:val="20"/>
        </w:rPr>
      </w:pPr>
      <w:r>
        <w:rPr>
          <w:sz w:val="20"/>
        </w:rPr>
        <w:t>Los</w:t>
      </w:r>
      <w:r>
        <w:rPr>
          <w:spacing w:val="-7"/>
          <w:sz w:val="20"/>
        </w:rPr>
        <w:t> </w:t>
      </w:r>
      <w:r>
        <w:rPr>
          <w:sz w:val="20"/>
        </w:rPr>
        <w:t>partidos</w:t>
      </w:r>
      <w:r>
        <w:rPr>
          <w:spacing w:val="-9"/>
          <w:sz w:val="20"/>
        </w:rPr>
        <w:t> </w:t>
      </w:r>
      <w:r>
        <w:rPr>
          <w:sz w:val="20"/>
        </w:rPr>
        <w:t>políticos</w:t>
      </w:r>
      <w:r>
        <w:rPr>
          <w:spacing w:val="-9"/>
          <w:sz w:val="20"/>
        </w:rPr>
        <w:t> </w:t>
      </w:r>
      <w:r>
        <w:rPr>
          <w:sz w:val="20"/>
        </w:rPr>
        <w:t>son</w:t>
      </w:r>
      <w:r>
        <w:rPr>
          <w:spacing w:val="-9"/>
          <w:sz w:val="20"/>
        </w:rPr>
        <w:t> </w:t>
      </w:r>
      <w:r>
        <w:rPr>
          <w:sz w:val="20"/>
        </w:rPr>
        <w:t>organizaciones</w:t>
      </w:r>
      <w:r>
        <w:rPr>
          <w:spacing w:val="-7"/>
          <w:sz w:val="20"/>
        </w:rPr>
        <w:t> </w:t>
      </w:r>
      <w:r>
        <w:rPr>
          <w:sz w:val="20"/>
        </w:rPr>
        <w:t>inclusivas</w:t>
      </w:r>
      <w:r>
        <w:rPr>
          <w:spacing w:val="-7"/>
          <w:sz w:val="20"/>
        </w:rPr>
        <w:t> </w:t>
      </w:r>
      <w:r>
        <w:rPr>
          <w:sz w:val="20"/>
        </w:rPr>
        <w:t>y</w:t>
      </w:r>
      <w:r>
        <w:rPr>
          <w:spacing w:val="-9"/>
          <w:sz w:val="20"/>
        </w:rPr>
        <w:t> </w:t>
      </w:r>
      <w:r>
        <w:rPr>
          <w:spacing w:val="-2"/>
          <w:sz w:val="20"/>
        </w:rPr>
        <w:t>comprometidas.</w:t>
      </w:r>
    </w:p>
    <w:p>
      <w:pPr>
        <w:pStyle w:val="ListParagraph"/>
        <w:numPr>
          <w:ilvl w:val="3"/>
          <w:numId w:val="4"/>
        </w:numPr>
        <w:tabs>
          <w:tab w:pos="1175" w:val="left" w:leader="none"/>
        </w:tabs>
        <w:spacing w:line="240" w:lineRule="auto" w:before="154" w:after="0"/>
        <w:ind w:left="1174" w:right="0" w:hanging="221"/>
        <w:jc w:val="both"/>
        <w:rPr>
          <w:sz w:val="20"/>
        </w:rPr>
      </w:pPr>
      <w:r>
        <w:rPr>
          <w:sz w:val="20"/>
        </w:rPr>
        <w:t>Los</w:t>
      </w:r>
      <w:r>
        <w:rPr>
          <w:spacing w:val="-8"/>
          <w:sz w:val="20"/>
        </w:rPr>
        <w:t> </w:t>
      </w:r>
      <w:r>
        <w:rPr>
          <w:sz w:val="20"/>
        </w:rPr>
        <w:t>partidos</w:t>
      </w:r>
      <w:r>
        <w:rPr>
          <w:spacing w:val="-9"/>
          <w:sz w:val="20"/>
        </w:rPr>
        <w:t> </w:t>
      </w:r>
      <w:r>
        <w:rPr>
          <w:sz w:val="20"/>
        </w:rPr>
        <w:t>políticos</w:t>
      </w:r>
      <w:r>
        <w:rPr>
          <w:spacing w:val="-9"/>
          <w:sz w:val="20"/>
        </w:rPr>
        <w:t> </w:t>
      </w:r>
      <w:r>
        <w:rPr>
          <w:sz w:val="20"/>
        </w:rPr>
        <w:t>son</w:t>
      </w:r>
      <w:r>
        <w:rPr>
          <w:spacing w:val="-10"/>
          <w:sz w:val="20"/>
        </w:rPr>
        <w:t> </w:t>
      </w:r>
      <w:r>
        <w:rPr>
          <w:sz w:val="20"/>
        </w:rPr>
        <w:t>organizaciones</w:t>
      </w:r>
      <w:r>
        <w:rPr>
          <w:spacing w:val="-8"/>
          <w:sz w:val="20"/>
        </w:rPr>
        <w:t> </w:t>
      </w:r>
      <w:r>
        <w:rPr>
          <w:spacing w:val="-2"/>
          <w:sz w:val="20"/>
        </w:rPr>
        <w:t>democráticas.</w:t>
      </w:r>
    </w:p>
    <w:p>
      <w:pPr>
        <w:pStyle w:val="ListParagraph"/>
        <w:numPr>
          <w:ilvl w:val="3"/>
          <w:numId w:val="4"/>
        </w:numPr>
        <w:tabs>
          <w:tab w:pos="1175" w:val="left" w:leader="none"/>
        </w:tabs>
        <w:spacing w:line="240" w:lineRule="auto" w:before="157" w:after="0"/>
        <w:ind w:left="1174" w:right="0" w:hanging="221"/>
        <w:jc w:val="left"/>
        <w:rPr>
          <w:sz w:val="20"/>
        </w:rPr>
      </w:pPr>
      <w:r>
        <w:rPr>
          <w:sz w:val="20"/>
        </w:rPr>
        <w:t>Los</w:t>
      </w:r>
      <w:r>
        <w:rPr>
          <w:spacing w:val="-5"/>
          <w:sz w:val="20"/>
        </w:rPr>
        <w:t> </w:t>
      </w:r>
      <w:r>
        <w:rPr>
          <w:sz w:val="20"/>
        </w:rPr>
        <w:t>partidos</w:t>
      </w:r>
      <w:r>
        <w:rPr>
          <w:spacing w:val="-7"/>
          <w:sz w:val="20"/>
        </w:rPr>
        <w:t> </w:t>
      </w:r>
      <w:r>
        <w:rPr>
          <w:sz w:val="20"/>
        </w:rPr>
        <w:t>políticos</w:t>
      </w:r>
      <w:r>
        <w:rPr>
          <w:spacing w:val="-6"/>
          <w:sz w:val="20"/>
        </w:rPr>
        <w:t> </w:t>
      </w:r>
      <w:r>
        <w:rPr>
          <w:sz w:val="20"/>
        </w:rPr>
        <w:t>participan</w:t>
      </w:r>
      <w:r>
        <w:rPr>
          <w:spacing w:val="-9"/>
          <w:sz w:val="20"/>
        </w:rPr>
        <w:t> </w:t>
      </w:r>
      <w:r>
        <w:rPr>
          <w:sz w:val="20"/>
        </w:rPr>
        <w:t>en</w:t>
      </w:r>
      <w:r>
        <w:rPr>
          <w:spacing w:val="-7"/>
          <w:sz w:val="20"/>
        </w:rPr>
        <w:t> </w:t>
      </w:r>
      <w:r>
        <w:rPr>
          <w:sz w:val="20"/>
        </w:rPr>
        <w:t>la</w:t>
      </w:r>
      <w:r>
        <w:rPr>
          <w:spacing w:val="-8"/>
          <w:sz w:val="20"/>
        </w:rPr>
        <w:t> </w:t>
      </w:r>
      <w:r>
        <w:rPr>
          <w:sz w:val="20"/>
        </w:rPr>
        <w:t>cooperación</w:t>
      </w:r>
      <w:r>
        <w:rPr>
          <w:spacing w:val="-8"/>
          <w:sz w:val="20"/>
        </w:rPr>
        <w:t> </w:t>
      </w:r>
      <w:r>
        <w:rPr>
          <w:sz w:val="20"/>
        </w:rPr>
        <w:t>y</w:t>
      </w:r>
      <w:r>
        <w:rPr>
          <w:spacing w:val="-5"/>
          <w:sz w:val="20"/>
        </w:rPr>
        <w:t> </w:t>
      </w:r>
      <w:r>
        <w:rPr>
          <w:sz w:val="20"/>
        </w:rPr>
        <w:t>el</w:t>
      </w:r>
      <w:r>
        <w:rPr>
          <w:spacing w:val="-8"/>
          <w:sz w:val="20"/>
        </w:rPr>
        <w:t> </w:t>
      </w:r>
      <w:r>
        <w:rPr>
          <w:sz w:val="20"/>
        </w:rPr>
        <w:t>diálogo</w:t>
      </w:r>
      <w:r>
        <w:rPr>
          <w:spacing w:val="-8"/>
          <w:sz w:val="20"/>
        </w:rPr>
        <w:t> </w:t>
      </w:r>
      <w:r>
        <w:rPr>
          <w:sz w:val="20"/>
        </w:rPr>
        <w:t>entre</w:t>
      </w:r>
      <w:r>
        <w:rPr>
          <w:spacing w:val="-7"/>
          <w:sz w:val="20"/>
        </w:rPr>
        <w:t> </w:t>
      </w:r>
      <w:r>
        <w:rPr>
          <w:spacing w:val="-2"/>
          <w:sz w:val="20"/>
        </w:rPr>
        <w:t>partidos.</w:t>
      </w:r>
    </w:p>
    <w:p>
      <w:pPr>
        <w:pStyle w:val="ListParagraph"/>
        <w:numPr>
          <w:ilvl w:val="3"/>
          <w:numId w:val="4"/>
        </w:numPr>
        <w:tabs>
          <w:tab w:pos="1175" w:val="left" w:leader="none"/>
        </w:tabs>
        <w:spacing w:line="240" w:lineRule="auto" w:before="154" w:after="0"/>
        <w:ind w:left="1174" w:right="0" w:hanging="221"/>
        <w:jc w:val="left"/>
        <w:rPr>
          <w:sz w:val="20"/>
        </w:rPr>
      </w:pPr>
      <w:r>
        <w:rPr>
          <w:sz w:val="20"/>
        </w:rPr>
        <w:t>DIPD</w:t>
      </w:r>
      <w:r>
        <w:rPr>
          <w:spacing w:val="-7"/>
          <w:sz w:val="20"/>
        </w:rPr>
        <w:t> </w:t>
      </w:r>
      <w:r>
        <w:rPr>
          <w:sz w:val="20"/>
        </w:rPr>
        <w:t>aprende</w:t>
      </w:r>
      <w:r>
        <w:rPr>
          <w:spacing w:val="-6"/>
          <w:sz w:val="20"/>
        </w:rPr>
        <w:t> </w:t>
      </w:r>
      <w:r>
        <w:rPr>
          <w:sz w:val="20"/>
        </w:rPr>
        <w:t>de</w:t>
      </w:r>
      <w:r>
        <w:rPr>
          <w:spacing w:val="-6"/>
          <w:sz w:val="20"/>
        </w:rPr>
        <w:t> </w:t>
      </w:r>
      <w:r>
        <w:rPr>
          <w:sz w:val="20"/>
        </w:rPr>
        <w:t>los</w:t>
      </w:r>
      <w:r>
        <w:rPr>
          <w:spacing w:val="-5"/>
          <w:sz w:val="20"/>
        </w:rPr>
        <w:t> </w:t>
      </w:r>
      <w:r>
        <w:rPr>
          <w:sz w:val="20"/>
        </w:rPr>
        <w:t>resultados</w:t>
      </w:r>
      <w:r>
        <w:rPr>
          <w:spacing w:val="-6"/>
          <w:sz w:val="20"/>
        </w:rPr>
        <w:t> </w:t>
      </w:r>
      <w:r>
        <w:rPr>
          <w:sz w:val="20"/>
        </w:rPr>
        <w:t>y</w:t>
      </w:r>
      <w:r>
        <w:rPr>
          <w:spacing w:val="-5"/>
          <w:sz w:val="20"/>
        </w:rPr>
        <w:t> </w:t>
      </w:r>
      <w:r>
        <w:rPr>
          <w:sz w:val="20"/>
        </w:rPr>
        <w:t>los</w:t>
      </w:r>
      <w:r>
        <w:rPr>
          <w:spacing w:val="-5"/>
          <w:sz w:val="20"/>
        </w:rPr>
        <w:t> </w:t>
      </w:r>
      <w:r>
        <w:rPr>
          <w:spacing w:val="-2"/>
          <w:sz w:val="20"/>
        </w:rPr>
        <w:t>documenta</w:t>
      </w:r>
    </w:p>
    <w:p>
      <w:pPr>
        <w:pStyle w:val="BodyText"/>
        <w:rPr>
          <w:sz w:val="22"/>
        </w:rPr>
      </w:pPr>
    </w:p>
    <w:p>
      <w:pPr>
        <w:pStyle w:val="BodyText"/>
        <w:spacing w:before="1"/>
        <w:rPr>
          <w:sz w:val="22"/>
        </w:rPr>
      </w:pPr>
    </w:p>
    <w:p>
      <w:pPr>
        <w:pStyle w:val="BodyText"/>
        <w:ind w:left="968"/>
        <w:jc w:val="both"/>
      </w:pPr>
      <w:r>
        <w:rPr/>
        <w:t>Por</w:t>
      </w:r>
      <w:r>
        <w:rPr>
          <w:spacing w:val="-7"/>
        </w:rPr>
        <w:t> </w:t>
      </w:r>
      <w:r>
        <w:rPr/>
        <w:t>lo</w:t>
      </w:r>
      <w:r>
        <w:rPr>
          <w:spacing w:val="-7"/>
        </w:rPr>
        <w:t> </w:t>
      </w:r>
      <w:r>
        <w:rPr/>
        <w:t>tanto,</w:t>
      </w:r>
      <w:r>
        <w:rPr>
          <w:spacing w:val="-4"/>
        </w:rPr>
        <w:t> </w:t>
      </w:r>
      <w:r>
        <w:rPr/>
        <w:t>un</w:t>
      </w:r>
      <w:r>
        <w:rPr>
          <w:spacing w:val="-6"/>
        </w:rPr>
        <w:t> </w:t>
      </w:r>
      <w:r>
        <w:rPr/>
        <w:t>marco</w:t>
      </w:r>
      <w:r>
        <w:rPr>
          <w:spacing w:val="-6"/>
        </w:rPr>
        <w:t> </w:t>
      </w:r>
      <w:r>
        <w:rPr/>
        <w:t>de</w:t>
      </w:r>
      <w:r>
        <w:rPr>
          <w:spacing w:val="-7"/>
        </w:rPr>
        <w:t> </w:t>
      </w:r>
      <w:r>
        <w:rPr/>
        <w:t>resultados</w:t>
      </w:r>
      <w:r>
        <w:rPr>
          <w:spacing w:val="-5"/>
        </w:rPr>
        <w:t> </w:t>
      </w:r>
      <w:r>
        <w:rPr/>
        <w:t>de</w:t>
      </w:r>
      <w:r>
        <w:rPr>
          <w:spacing w:val="-4"/>
        </w:rPr>
        <w:t> </w:t>
      </w:r>
      <w:r>
        <w:rPr/>
        <w:t>la</w:t>
      </w:r>
      <w:r>
        <w:rPr>
          <w:spacing w:val="-7"/>
        </w:rPr>
        <w:t> </w:t>
      </w:r>
      <w:r>
        <w:rPr/>
        <w:t>colaboración</w:t>
      </w:r>
      <w:r>
        <w:rPr>
          <w:spacing w:val="-5"/>
        </w:rPr>
        <w:t> </w:t>
      </w:r>
      <w:r>
        <w:rPr/>
        <w:t>deberá</w:t>
      </w:r>
      <w:r>
        <w:rPr>
          <w:spacing w:val="-5"/>
        </w:rPr>
        <w:t> </w:t>
      </w:r>
      <w:r>
        <w:rPr/>
        <w:t>añadirse</w:t>
      </w:r>
      <w:r>
        <w:rPr>
          <w:spacing w:val="-7"/>
        </w:rPr>
        <w:t> </w:t>
      </w:r>
      <w:r>
        <w:rPr/>
        <w:t>al</w:t>
      </w:r>
      <w:r>
        <w:rPr>
          <w:spacing w:val="-7"/>
        </w:rPr>
        <w:t> </w:t>
      </w:r>
      <w:r>
        <w:rPr>
          <w:spacing w:val="-5"/>
        </w:rPr>
        <w:t>FA.</w:t>
      </w:r>
    </w:p>
    <w:p>
      <w:pPr>
        <w:spacing w:line="271" w:lineRule="auto" w:before="123"/>
        <w:ind w:left="978" w:right="862" w:hanging="10"/>
        <w:jc w:val="both"/>
        <w:rPr>
          <w:sz w:val="20"/>
        </w:rPr>
      </w:pPr>
      <w:r>
        <w:rPr>
          <w:sz w:val="20"/>
        </w:rPr>
        <w:t>El EP (</w:t>
      </w:r>
      <w:r>
        <w:rPr>
          <w:i/>
          <w:sz w:val="20"/>
        </w:rPr>
        <w:t>siglas en inglés para Socio del Encargo) </w:t>
      </w:r>
      <w:r>
        <w:rPr>
          <w:sz w:val="20"/>
        </w:rPr>
        <w:t>tiene el derecho de redistribuir los ‘</w:t>
      </w:r>
      <w:r>
        <w:rPr>
          <w:i/>
          <w:sz w:val="20"/>
        </w:rPr>
        <w:t>outputs’ </w:t>
      </w:r>
      <w:r>
        <w:rPr>
          <w:sz w:val="20"/>
        </w:rPr>
        <w:t>(resultados) dentro del presupuesto. Los cambios que excedan el 30% deben ser presentados y aprobados por la Ejecutiva de DIPD.</w:t>
      </w:r>
    </w:p>
    <w:p>
      <w:pPr>
        <w:pStyle w:val="BodyText"/>
        <w:spacing w:line="268" w:lineRule="auto" w:before="92"/>
        <w:ind w:left="978" w:right="857" w:hanging="10"/>
        <w:jc w:val="both"/>
      </w:pPr>
      <w:r>
        <w:rPr/>
        <w:t>Es</w:t>
      </w:r>
      <w:r>
        <w:rPr>
          <w:spacing w:val="-12"/>
        </w:rPr>
        <w:t> </w:t>
      </w:r>
      <w:r>
        <w:rPr/>
        <w:t>importante</w:t>
      </w:r>
      <w:r>
        <w:rPr>
          <w:spacing w:val="-13"/>
        </w:rPr>
        <w:t> </w:t>
      </w:r>
      <w:r>
        <w:rPr/>
        <w:t>tener</w:t>
      </w:r>
      <w:r>
        <w:rPr>
          <w:spacing w:val="-13"/>
        </w:rPr>
        <w:t> </w:t>
      </w:r>
      <w:r>
        <w:rPr/>
        <w:t>en</w:t>
      </w:r>
      <w:r>
        <w:rPr>
          <w:spacing w:val="-14"/>
        </w:rPr>
        <w:t> </w:t>
      </w:r>
      <w:r>
        <w:rPr/>
        <w:t>cuenta</w:t>
      </w:r>
      <w:r>
        <w:rPr>
          <w:spacing w:val="-13"/>
        </w:rPr>
        <w:t> </w:t>
      </w:r>
      <w:r>
        <w:rPr/>
        <w:t>las</w:t>
      </w:r>
      <w:r>
        <w:rPr>
          <w:spacing w:val="-13"/>
        </w:rPr>
        <w:t> </w:t>
      </w:r>
      <w:r>
        <w:rPr/>
        <w:t>regulaciones</w:t>
      </w:r>
      <w:r>
        <w:rPr>
          <w:spacing w:val="-13"/>
        </w:rPr>
        <w:t> </w:t>
      </w:r>
      <w:r>
        <w:rPr/>
        <w:t>para</w:t>
      </w:r>
      <w:r>
        <w:rPr>
          <w:spacing w:val="-13"/>
        </w:rPr>
        <w:t> </w:t>
      </w:r>
      <w:r>
        <w:rPr/>
        <w:t>los</w:t>
      </w:r>
      <w:r>
        <w:rPr>
          <w:spacing w:val="-10"/>
        </w:rPr>
        <w:t> </w:t>
      </w:r>
      <w:r>
        <w:rPr/>
        <w:t>sueldos</w:t>
      </w:r>
      <w:r>
        <w:rPr>
          <w:spacing w:val="-12"/>
        </w:rPr>
        <w:t> </w:t>
      </w:r>
      <w:r>
        <w:rPr/>
        <w:t>del</w:t>
      </w:r>
      <w:r>
        <w:rPr>
          <w:spacing w:val="-12"/>
        </w:rPr>
        <w:t> </w:t>
      </w:r>
      <w:r>
        <w:rPr/>
        <w:t>personal</w:t>
      </w:r>
      <w:r>
        <w:rPr>
          <w:spacing w:val="-14"/>
        </w:rPr>
        <w:t> </w:t>
      </w:r>
      <w:r>
        <w:rPr/>
        <w:t>danés, grandes inversiones y gastos en viajes internacionales. La administración de los fondos de la asociación entre partidos siempre debe realizarse con las debidas consideraciones económicas.</w:t>
      </w:r>
    </w:p>
    <w:p>
      <w:pPr>
        <w:pStyle w:val="BodyText"/>
        <w:spacing w:line="271" w:lineRule="auto" w:before="98"/>
        <w:ind w:left="978" w:right="865" w:hanging="10"/>
        <w:jc w:val="both"/>
      </w:pPr>
      <w:r>
        <w:rPr/>
        <w:pict>
          <v:line style="position:absolute;mso-position-horizontal-relative:page;mso-position-vertical-relative:paragraph;z-index:15738368" from="345.899994pt,94.039879pt" to="483.549994pt,94.039879pt" stroked="true" strokeweight=".96pt" strokecolor="#000000">
            <v:stroke dashstyle="shortdot"/>
            <w10:wrap type="none"/>
          </v:line>
        </w:pict>
      </w:r>
      <w:r>
        <w:rPr/>
        <w:t>La responsabilidad de mantener asegurados el inventario, el material y el personal de la asociación entre partidos, en la medida de lo posible, recae sobre la organización danesa.</w:t>
      </w:r>
    </w:p>
    <w:p>
      <w:pPr>
        <w:spacing w:after="0" w:line="271" w:lineRule="auto"/>
        <w:jc w:val="both"/>
        <w:sectPr>
          <w:headerReference w:type="default" r:id="rId21"/>
          <w:footerReference w:type="default" r:id="rId22"/>
          <w:pgSz w:w="11910" w:h="16850"/>
          <w:pgMar w:header="718" w:footer="843" w:top="940" w:bottom="1040" w:left="1300" w:right="1400"/>
        </w:sectPr>
      </w:pPr>
    </w:p>
    <w:p>
      <w:pPr>
        <w:pStyle w:val="BodyText"/>
      </w:pPr>
      <w:r>
        <w:rPr/>
        <w:pict>
          <v:line style="position:absolute;mso-position-horizontal-relative:page;mso-position-vertical-relative:page;z-index:15738880" from="111.949997pt,788.599976pt" to="249.499997pt,788.599976pt" stroked="true" strokeweight=".96pt" strokecolor="#000000">
            <v:stroke dashstyle="shortdot"/>
            <w10:wrap type="none"/>
          </v:line>
        </w:pict>
      </w:r>
    </w:p>
    <w:p>
      <w:pPr>
        <w:pStyle w:val="BodyText"/>
      </w:pPr>
    </w:p>
    <w:p>
      <w:pPr>
        <w:pStyle w:val="BodyText"/>
        <w:spacing w:before="2"/>
        <w:rPr>
          <w:sz w:val="21"/>
        </w:rPr>
      </w:pPr>
    </w:p>
    <w:p>
      <w:pPr>
        <w:pStyle w:val="BodyText"/>
        <w:spacing w:line="268" w:lineRule="auto" w:before="93"/>
        <w:ind w:left="978" w:right="859" w:hanging="10"/>
        <w:jc w:val="both"/>
      </w:pPr>
      <w:r>
        <w:rPr/>
        <w:t>Si los sueldos o los gastos de remuneración están incluidos en el presupuesto del personal</w:t>
      </w:r>
      <w:r>
        <w:rPr>
          <w:spacing w:val="-3"/>
        </w:rPr>
        <w:t> </w:t>
      </w:r>
      <w:r>
        <w:rPr/>
        <w:t>danés, el EP</w:t>
      </w:r>
      <w:r>
        <w:rPr>
          <w:spacing w:val="-2"/>
        </w:rPr>
        <w:t> </w:t>
      </w:r>
      <w:r>
        <w:rPr/>
        <w:t>(</w:t>
      </w:r>
      <w:r>
        <w:rPr>
          <w:i/>
        </w:rPr>
        <w:t>siglas</w:t>
      </w:r>
      <w:r>
        <w:rPr>
          <w:i/>
          <w:spacing w:val="-1"/>
        </w:rPr>
        <w:t> </w:t>
      </w:r>
      <w:r>
        <w:rPr>
          <w:i/>
        </w:rPr>
        <w:t>en inglés</w:t>
      </w:r>
      <w:r>
        <w:rPr>
          <w:i/>
          <w:spacing w:val="-1"/>
        </w:rPr>
        <w:t> </w:t>
      </w:r>
      <w:r>
        <w:rPr>
          <w:i/>
        </w:rPr>
        <w:t>para Socio del Encargo) </w:t>
      </w:r>
      <w:r>
        <w:rPr/>
        <w:t>debe mantener un registro adecuado para las autoridades aduaneras y fiscales danesas.</w:t>
      </w:r>
    </w:p>
    <w:p>
      <w:pPr>
        <w:pStyle w:val="BodyText"/>
        <w:rPr>
          <w:sz w:val="22"/>
        </w:rPr>
      </w:pPr>
    </w:p>
    <w:p>
      <w:pPr>
        <w:spacing w:before="196"/>
        <w:ind w:left="968" w:right="0" w:firstLine="0"/>
        <w:jc w:val="both"/>
        <w:rPr>
          <w:b/>
          <w:sz w:val="20"/>
        </w:rPr>
      </w:pPr>
      <w:r>
        <w:rPr>
          <w:b/>
          <w:sz w:val="20"/>
        </w:rPr>
        <w:t>Todos</w:t>
      </w:r>
      <w:r>
        <w:rPr>
          <w:b/>
          <w:spacing w:val="-10"/>
          <w:sz w:val="20"/>
        </w:rPr>
        <w:t> </w:t>
      </w:r>
      <w:r>
        <w:rPr>
          <w:b/>
          <w:sz w:val="20"/>
        </w:rPr>
        <w:t>los</w:t>
      </w:r>
      <w:r>
        <w:rPr>
          <w:b/>
          <w:spacing w:val="-9"/>
          <w:sz w:val="20"/>
        </w:rPr>
        <w:t> </w:t>
      </w:r>
      <w:r>
        <w:rPr>
          <w:b/>
          <w:sz w:val="20"/>
        </w:rPr>
        <w:t>presupuestos</w:t>
      </w:r>
      <w:r>
        <w:rPr>
          <w:b/>
          <w:spacing w:val="-8"/>
          <w:sz w:val="20"/>
        </w:rPr>
        <w:t> </w:t>
      </w:r>
      <w:r>
        <w:rPr>
          <w:b/>
          <w:sz w:val="20"/>
        </w:rPr>
        <w:t>deben</w:t>
      </w:r>
      <w:r>
        <w:rPr>
          <w:b/>
          <w:spacing w:val="-5"/>
          <w:sz w:val="20"/>
        </w:rPr>
        <w:t> </w:t>
      </w:r>
      <w:r>
        <w:rPr>
          <w:b/>
          <w:sz w:val="20"/>
        </w:rPr>
        <w:t>realizarse</w:t>
      </w:r>
      <w:r>
        <w:rPr>
          <w:b/>
          <w:spacing w:val="-7"/>
          <w:sz w:val="20"/>
        </w:rPr>
        <w:t> </w:t>
      </w:r>
      <w:r>
        <w:rPr>
          <w:b/>
          <w:sz w:val="20"/>
        </w:rPr>
        <w:t>en</w:t>
      </w:r>
      <w:r>
        <w:rPr>
          <w:b/>
          <w:spacing w:val="-10"/>
          <w:sz w:val="20"/>
        </w:rPr>
        <w:t> </w:t>
      </w:r>
      <w:r>
        <w:rPr>
          <w:b/>
          <w:sz w:val="20"/>
        </w:rPr>
        <w:t>coronas</w:t>
      </w:r>
      <w:r>
        <w:rPr>
          <w:b/>
          <w:spacing w:val="-10"/>
          <w:sz w:val="20"/>
        </w:rPr>
        <w:t> </w:t>
      </w:r>
      <w:r>
        <w:rPr>
          <w:b/>
          <w:sz w:val="20"/>
        </w:rPr>
        <w:t>danesas</w:t>
      </w:r>
      <w:r>
        <w:rPr>
          <w:b/>
          <w:spacing w:val="-10"/>
          <w:sz w:val="20"/>
        </w:rPr>
        <w:t> </w:t>
      </w:r>
      <w:r>
        <w:rPr>
          <w:b/>
          <w:spacing w:val="-2"/>
          <w:sz w:val="20"/>
        </w:rPr>
        <w:t>(DKK).</w:t>
      </w:r>
    </w:p>
    <w:p>
      <w:pPr>
        <w:pStyle w:val="BodyText"/>
        <w:rPr>
          <w:b/>
          <w:sz w:val="22"/>
        </w:rPr>
      </w:pPr>
    </w:p>
    <w:p>
      <w:pPr>
        <w:pStyle w:val="BodyText"/>
        <w:rPr>
          <w:b/>
          <w:sz w:val="22"/>
        </w:rPr>
      </w:pPr>
    </w:p>
    <w:p>
      <w:pPr>
        <w:pStyle w:val="BodyText"/>
        <w:spacing w:before="1"/>
        <w:rPr>
          <w:b/>
          <w:sz w:val="19"/>
        </w:rPr>
      </w:pPr>
    </w:p>
    <w:p>
      <w:pPr>
        <w:pStyle w:val="Heading3"/>
        <w:numPr>
          <w:ilvl w:val="2"/>
          <w:numId w:val="4"/>
        </w:numPr>
        <w:tabs>
          <w:tab w:pos="769" w:val="left" w:leader="none"/>
          <w:tab w:pos="770" w:val="left" w:leader="none"/>
        </w:tabs>
        <w:spacing w:line="240" w:lineRule="auto" w:before="0" w:after="51"/>
        <w:ind w:left="769" w:right="0" w:hanging="668"/>
        <w:jc w:val="left"/>
      </w:pPr>
      <w:r>
        <w:rPr>
          <w:color w:val="FF0000"/>
        </w:rPr>
        <w:t>RESUMEN</w:t>
      </w:r>
      <w:r>
        <w:rPr>
          <w:color w:val="FF0000"/>
          <w:spacing w:val="-5"/>
        </w:rPr>
        <w:t> </w:t>
      </w:r>
      <w:r>
        <w:rPr>
          <w:color w:val="FF0000"/>
        </w:rPr>
        <w:t>DEL</w:t>
      </w:r>
      <w:r>
        <w:rPr>
          <w:color w:val="FF0000"/>
          <w:spacing w:val="-5"/>
        </w:rPr>
        <w:t> </w:t>
      </w:r>
      <w:r>
        <w:rPr>
          <w:color w:val="FF0000"/>
        </w:rPr>
        <w:t>FORMATO</w:t>
      </w:r>
      <w:r>
        <w:rPr>
          <w:color w:val="FF0000"/>
          <w:spacing w:val="-6"/>
        </w:rPr>
        <w:t> </w:t>
      </w:r>
      <w:r>
        <w:rPr>
          <w:color w:val="FF0000"/>
        </w:rPr>
        <w:t>DE</w:t>
      </w:r>
      <w:r>
        <w:rPr>
          <w:color w:val="FF0000"/>
          <w:spacing w:val="-7"/>
        </w:rPr>
        <w:t> </w:t>
      </w:r>
      <w:r>
        <w:rPr>
          <w:color w:val="FF0000"/>
        </w:rPr>
        <w:t>PRESUPUESTO</w:t>
      </w:r>
      <w:r>
        <w:rPr>
          <w:color w:val="FF0000"/>
          <w:spacing w:val="-6"/>
        </w:rPr>
        <w:t> </w:t>
      </w:r>
      <w:r>
        <w:rPr>
          <w:color w:val="FF0000"/>
        </w:rPr>
        <w:t>DE</w:t>
      </w:r>
      <w:r>
        <w:rPr>
          <w:color w:val="FF0000"/>
          <w:spacing w:val="-7"/>
        </w:rPr>
        <w:t> </w:t>
      </w:r>
      <w:r>
        <w:rPr>
          <w:color w:val="FF0000"/>
          <w:spacing w:val="-4"/>
        </w:rPr>
        <w:t>DIPD</w:t>
      </w:r>
    </w:p>
    <w:tbl>
      <w:tblPr>
        <w:tblW w:w="0" w:type="auto"/>
        <w:jc w:val="left"/>
        <w:tblInd w:w="9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30"/>
        <w:gridCol w:w="1700"/>
        <w:gridCol w:w="910"/>
        <w:gridCol w:w="913"/>
        <w:gridCol w:w="913"/>
        <w:gridCol w:w="911"/>
        <w:gridCol w:w="913"/>
        <w:gridCol w:w="680"/>
      </w:tblGrid>
      <w:tr>
        <w:trPr>
          <w:trHeight w:val="729" w:hRule="atLeast"/>
        </w:trPr>
        <w:tc>
          <w:tcPr>
            <w:tcW w:w="430" w:type="dxa"/>
          </w:tcPr>
          <w:p>
            <w:pPr>
              <w:pStyle w:val="TableParagraph"/>
              <w:spacing w:before="71"/>
              <w:ind w:left="107"/>
              <w:rPr>
                <w:b/>
                <w:sz w:val="20"/>
              </w:rPr>
            </w:pPr>
            <w:r>
              <w:rPr>
                <w:b/>
                <w:w w:val="99"/>
                <w:sz w:val="20"/>
              </w:rPr>
              <w:t>#</w:t>
            </w:r>
          </w:p>
        </w:tc>
        <w:tc>
          <w:tcPr>
            <w:tcW w:w="1700" w:type="dxa"/>
          </w:tcPr>
          <w:p>
            <w:pPr>
              <w:pStyle w:val="TableParagraph"/>
              <w:spacing w:line="259" w:lineRule="auto" w:before="71"/>
              <w:ind w:left="105" w:right="386"/>
              <w:rPr>
                <w:b/>
                <w:sz w:val="20"/>
              </w:rPr>
            </w:pPr>
            <w:r>
              <w:rPr>
                <w:b/>
                <w:sz w:val="20"/>
              </w:rPr>
              <w:t>Línea de </w:t>
            </w:r>
            <w:r>
              <w:rPr>
                <w:b/>
                <w:spacing w:val="-2"/>
                <w:sz w:val="20"/>
              </w:rPr>
              <w:t>presupuesto</w:t>
            </w:r>
          </w:p>
        </w:tc>
        <w:tc>
          <w:tcPr>
            <w:tcW w:w="910" w:type="dxa"/>
          </w:tcPr>
          <w:p>
            <w:pPr>
              <w:pStyle w:val="TableParagraph"/>
              <w:spacing w:line="259" w:lineRule="auto" w:before="71"/>
              <w:ind w:left="107" w:right="55"/>
              <w:rPr>
                <w:sz w:val="20"/>
              </w:rPr>
            </w:pPr>
            <w:r>
              <w:rPr>
                <w:spacing w:val="-2"/>
                <w:sz w:val="20"/>
              </w:rPr>
              <w:t>Objetivo </w:t>
            </w:r>
            <w:r>
              <w:rPr>
                <w:spacing w:val="-10"/>
                <w:sz w:val="20"/>
              </w:rPr>
              <w:t>1</w:t>
            </w:r>
          </w:p>
        </w:tc>
        <w:tc>
          <w:tcPr>
            <w:tcW w:w="913" w:type="dxa"/>
          </w:tcPr>
          <w:p>
            <w:pPr>
              <w:pStyle w:val="TableParagraph"/>
              <w:spacing w:line="259" w:lineRule="auto" w:before="71"/>
              <w:ind w:left="109" w:right="56"/>
              <w:rPr>
                <w:sz w:val="20"/>
              </w:rPr>
            </w:pPr>
            <w:r>
              <w:rPr>
                <w:spacing w:val="-2"/>
                <w:sz w:val="20"/>
              </w:rPr>
              <w:t>Objetivo </w:t>
            </w:r>
            <w:r>
              <w:rPr>
                <w:spacing w:val="-10"/>
                <w:sz w:val="20"/>
              </w:rPr>
              <w:t>2</w:t>
            </w:r>
          </w:p>
        </w:tc>
        <w:tc>
          <w:tcPr>
            <w:tcW w:w="913" w:type="dxa"/>
          </w:tcPr>
          <w:p>
            <w:pPr>
              <w:pStyle w:val="TableParagraph"/>
              <w:spacing w:line="259" w:lineRule="auto" w:before="71"/>
              <w:ind w:left="106" w:right="59"/>
              <w:rPr>
                <w:sz w:val="20"/>
              </w:rPr>
            </w:pPr>
            <w:r>
              <w:rPr>
                <w:spacing w:val="-2"/>
                <w:sz w:val="20"/>
              </w:rPr>
              <w:t>Objetivo </w:t>
            </w:r>
            <w:r>
              <w:rPr>
                <w:spacing w:val="-10"/>
                <w:sz w:val="20"/>
              </w:rPr>
              <w:t>3</w:t>
            </w:r>
          </w:p>
        </w:tc>
        <w:tc>
          <w:tcPr>
            <w:tcW w:w="911" w:type="dxa"/>
          </w:tcPr>
          <w:p>
            <w:pPr>
              <w:pStyle w:val="TableParagraph"/>
              <w:spacing w:line="259" w:lineRule="auto" w:before="71"/>
              <w:ind w:left="105" w:right="58"/>
              <w:rPr>
                <w:sz w:val="20"/>
              </w:rPr>
            </w:pPr>
            <w:r>
              <w:rPr>
                <w:spacing w:val="-2"/>
                <w:sz w:val="20"/>
              </w:rPr>
              <w:t>Objetivo </w:t>
            </w:r>
            <w:r>
              <w:rPr>
                <w:spacing w:val="-10"/>
                <w:sz w:val="20"/>
              </w:rPr>
              <w:t>4</w:t>
            </w:r>
          </w:p>
        </w:tc>
        <w:tc>
          <w:tcPr>
            <w:tcW w:w="913" w:type="dxa"/>
          </w:tcPr>
          <w:p>
            <w:pPr>
              <w:pStyle w:val="TableParagraph"/>
              <w:spacing w:line="259" w:lineRule="auto" w:before="71"/>
              <w:ind w:left="104" w:right="61"/>
              <w:rPr>
                <w:sz w:val="20"/>
              </w:rPr>
            </w:pPr>
            <w:r>
              <w:rPr>
                <w:spacing w:val="-2"/>
                <w:sz w:val="20"/>
              </w:rPr>
              <w:t>Objetivo </w:t>
            </w:r>
            <w:r>
              <w:rPr>
                <w:spacing w:val="-10"/>
                <w:sz w:val="20"/>
              </w:rPr>
              <w:t>5</w:t>
            </w:r>
          </w:p>
        </w:tc>
        <w:tc>
          <w:tcPr>
            <w:tcW w:w="680" w:type="dxa"/>
          </w:tcPr>
          <w:p>
            <w:pPr>
              <w:pStyle w:val="TableParagraph"/>
              <w:spacing w:line="276" w:lineRule="auto" w:before="71"/>
              <w:ind w:left="103" w:right="112"/>
              <w:rPr>
                <w:sz w:val="20"/>
              </w:rPr>
            </w:pPr>
            <w:r>
              <w:rPr>
                <w:spacing w:val="-2"/>
                <w:sz w:val="20"/>
              </w:rPr>
              <w:t>Total </w:t>
            </w:r>
            <w:r>
              <w:rPr>
                <w:spacing w:val="-5"/>
                <w:sz w:val="20"/>
              </w:rPr>
              <w:t>DKK</w:t>
            </w:r>
          </w:p>
        </w:tc>
      </w:tr>
      <w:tr>
        <w:trPr>
          <w:trHeight w:val="544" w:hRule="atLeast"/>
        </w:trPr>
        <w:tc>
          <w:tcPr>
            <w:tcW w:w="430" w:type="dxa"/>
          </w:tcPr>
          <w:p>
            <w:pPr>
              <w:pStyle w:val="TableParagraph"/>
              <w:spacing w:before="71"/>
              <w:ind w:left="107"/>
              <w:rPr>
                <w:b/>
                <w:sz w:val="20"/>
              </w:rPr>
            </w:pPr>
            <w:r>
              <w:rPr>
                <w:b/>
                <w:w w:val="99"/>
                <w:sz w:val="20"/>
              </w:rPr>
              <w:t>1</w:t>
            </w:r>
          </w:p>
        </w:tc>
        <w:tc>
          <w:tcPr>
            <w:tcW w:w="1700" w:type="dxa"/>
          </w:tcPr>
          <w:p>
            <w:pPr>
              <w:pStyle w:val="TableParagraph"/>
              <w:spacing w:before="71"/>
              <w:ind w:left="105"/>
              <w:rPr>
                <w:b/>
                <w:sz w:val="20"/>
              </w:rPr>
            </w:pPr>
            <w:r>
              <w:rPr>
                <w:b/>
                <w:spacing w:val="-2"/>
                <w:sz w:val="20"/>
              </w:rPr>
              <w:t>Salario</w:t>
            </w:r>
          </w:p>
        </w:tc>
        <w:tc>
          <w:tcPr>
            <w:tcW w:w="910" w:type="dxa"/>
          </w:tcPr>
          <w:p>
            <w:pPr>
              <w:pStyle w:val="TableParagraph"/>
              <w:rPr>
                <w:rFonts w:ascii="Times New Roman"/>
                <w:sz w:val="18"/>
              </w:rPr>
            </w:pPr>
          </w:p>
        </w:tc>
        <w:tc>
          <w:tcPr>
            <w:tcW w:w="913" w:type="dxa"/>
          </w:tcPr>
          <w:p>
            <w:pPr>
              <w:pStyle w:val="TableParagraph"/>
              <w:rPr>
                <w:rFonts w:ascii="Times New Roman"/>
                <w:sz w:val="18"/>
              </w:rPr>
            </w:pPr>
          </w:p>
        </w:tc>
        <w:tc>
          <w:tcPr>
            <w:tcW w:w="913" w:type="dxa"/>
          </w:tcPr>
          <w:p>
            <w:pPr>
              <w:pStyle w:val="TableParagraph"/>
              <w:rPr>
                <w:rFonts w:ascii="Times New Roman"/>
                <w:sz w:val="18"/>
              </w:rPr>
            </w:pPr>
          </w:p>
        </w:tc>
        <w:tc>
          <w:tcPr>
            <w:tcW w:w="911" w:type="dxa"/>
          </w:tcPr>
          <w:p>
            <w:pPr>
              <w:pStyle w:val="TableParagraph"/>
              <w:rPr>
                <w:rFonts w:ascii="Times New Roman"/>
                <w:sz w:val="18"/>
              </w:rPr>
            </w:pPr>
          </w:p>
        </w:tc>
        <w:tc>
          <w:tcPr>
            <w:tcW w:w="913" w:type="dxa"/>
          </w:tcPr>
          <w:p>
            <w:pPr>
              <w:pStyle w:val="TableParagraph"/>
              <w:rPr>
                <w:rFonts w:ascii="Times New Roman"/>
                <w:sz w:val="18"/>
              </w:rPr>
            </w:pPr>
          </w:p>
        </w:tc>
        <w:tc>
          <w:tcPr>
            <w:tcW w:w="680" w:type="dxa"/>
          </w:tcPr>
          <w:p>
            <w:pPr>
              <w:pStyle w:val="TableParagraph"/>
              <w:rPr>
                <w:rFonts w:ascii="Times New Roman"/>
                <w:sz w:val="18"/>
              </w:rPr>
            </w:pPr>
          </w:p>
        </w:tc>
      </w:tr>
      <w:tr>
        <w:trPr>
          <w:trHeight w:val="731" w:hRule="atLeast"/>
        </w:trPr>
        <w:tc>
          <w:tcPr>
            <w:tcW w:w="430" w:type="dxa"/>
          </w:tcPr>
          <w:p>
            <w:pPr>
              <w:pStyle w:val="TableParagraph"/>
              <w:spacing w:before="74"/>
              <w:ind w:left="107"/>
              <w:rPr>
                <w:b/>
                <w:sz w:val="20"/>
              </w:rPr>
            </w:pPr>
            <w:r>
              <w:rPr>
                <w:b/>
                <w:w w:val="99"/>
                <w:sz w:val="20"/>
              </w:rPr>
              <w:t>2</w:t>
            </w:r>
          </w:p>
        </w:tc>
        <w:tc>
          <w:tcPr>
            <w:tcW w:w="1700" w:type="dxa"/>
          </w:tcPr>
          <w:p>
            <w:pPr>
              <w:pStyle w:val="TableParagraph"/>
              <w:spacing w:line="256" w:lineRule="auto" w:before="74"/>
              <w:ind w:left="105"/>
              <w:rPr>
                <w:b/>
                <w:sz w:val="20"/>
              </w:rPr>
            </w:pPr>
            <w:r>
              <w:rPr>
                <w:b/>
                <w:spacing w:val="-2"/>
                <w:sz w:val="20"/>
              </w:rPr>
              <w:t>Gastos administrativos</w:t>
            </w:r>
          </w:p>
        </w:tc>
        <w:tc>
          <w:tcPr>
            <w:tcW w:w="910" w:type="dxa"/>
          </w:tcPr>
          <w:p>
            <w:pPr>
              <w:pStyle w:val="TableParagraph"/>
              <w:rPr>
                <w:rFonts w:ascii="Times New Roman"/>
                <w:sz w:val="18"/>
              </w:rPr>
            </w:pPr>
          </w:p>
        </w:tc>
        <w:tc>
          <w:tcPr>
            <w:tcW w:w="913" w:type="dxa"/>
          </w:tcPr>
          <w:p>
            <w:pPr>
              <w:pStyle w:val="TableParagraph"/>
              <w:rPr>
                <w:rFonts w:ascii="Times New Roman"/>
                <w:sz w:val="18"/>
              </w:rPr>
            </w:pPr>
          </w:p>
        </w:tc>
        <w:tc>
          <w:tcPr>
            <w:tcW w:w="913" w:type="dxa"/>
          </w:tcPr>
          <w:p>
            <w:pPr>
              <w:pStyle w:val="TableParagraph"/>
              <w:rPr>
                <w:rFonts w:ascii="Times New Roman"/>
                <w:sz w:val="18"/>
              </w:rPr>
            </w:pPr>
          </w:p>
        </w:tc>
        <w:tc>
          <w:tcPr>
            <w:tcW w:w="911" w:type="dxa"/>
          </w:tcPr>
          <w:p>
            <w:pPr>
              <w:pStyle w:val="TableParagraph"/>
              <w:rPr>
                <w:rFonts w:ascii="Times New Roman"/>
                <w:sz w:val="18"/>
              </w:rPr>
            </w:pPr>
          </w:p>
        </w:tc>
        <w:tc>
          <w:tcPr>
            <w:tcW w:w="913" w:type="dxa"/>
          </w:tcPr>
          <w:p>
            <w:pPr>
              <w:pStyle w:val="TableParagraph"/>
              <w:rPr>
                <w:rFonts w:ascii="Times New Roman"/>
                <w:sz w:val="18"/>
              </w:rPr>
            </w:pPr>
          </w:p>
        </w:tc>
        <w:tc>
          <w:tcPr>
            <w:tcW w:w="680" w:type="dxa"/>
          </w:tcPr>
          <w:p>
            <w:pPr>
              <w:pStyle w:val="TableParagraph"/>
              <w:rPr>
                <w:rFonts w:ascii="Times New Roman"/>
                <w:sz w:val="18"/>
              </w:rPr>
            </w:pPr>
          </w:p>
        </w:tc>
      </w:tr>
      <w:tr>
        <w:trPr>
          <w:trHeight w:val="1062" w:hRule="atLeast"/>
        </w:trPr>
        <w:tc>
          <w:tcPr>
            <w:tcW w:w="430" w:type="dxa"/>
          </w:tcPr>
          <w:p>
            <w:pPr>
              <w:pStyle w:val="TableParagraph"/>
              <w:spacing w:before="71"/>
              <w:ind w:left="107"/>
              <w:rPr>
                <w:b/>
                <w:sz w:val="20"/>
              </w:rPr>
            </w:pPr>
            <w:r>
              <w:rPr>
                <w:b/>
                <w:w w:val="99"/>
                <w:sz w:val="20"/>
              </w:rPr>
              <w:t>3</w:t>
            </w:r>
          </w:p>
        </w:tc>
        <w:tc>
          <w:tcPr>
            <w:tcW w:w="1700" w:type="dxa"/>
          </w:tcPr>
          <w:p>
            <w:pPr>
              <w:pStyle w:val="TableParagraph"/>
              <w:spacing w:line="259" w:lineRule="auto" w:before="71"/>
              <w:ind w:left="105" w:right="98"/>
              <w:rPr>
                <w:b/>
                <w:sz w:val="20"/>
              </w:rPr>
            </w:pPr>
            <w:r>
              <w:rPr>
                <w:b/>
                <w:spacing w:val="-2"/>
                <w:sz w:val="20"/>
              </w:rPr>
              <w:t>Gastos </w:t>
            </w:r>
            <w:r>
              <w:rPr>
                <w:b/>
                <w:sz w:val="20"/>
              </w:rPr>
              <w:t>salariales y </w:t>
            </w:r>
            <w:r>
              <w:rPr>
                <w:b/>
                <w:spacing w:val="-2"/>
                <w:sz w:val="20"/>
              </w:rPr>
              <w:t>administrativos</w:t>
            </w:r>
          </w:p>
          <w:p>
            <w:pPr>
              <w:pStyle w:val="TableParagraph"/>
              <w:spacing w:line="226" w:lineRule="exact"/>
              <w:ind w:left="105"/>
              <w:rPr>
                <w:b/>
                <w:sz w:val="20"/>
              </w:rPr>
            </w:pPr>
            <w:r>
              <w:rPr>
                <w:b/>
                <w:sz w:val="20"/>
              </w:rPr>
              <w:t>totales</w:t>
            </w:r>
            <w:r>
              <w:rPr>
                <w:b/>
                <w:spacing w:val="-10"/>
                <w:sz w:val="20"/>
              </w:rPr>
              <w:t> </w:t>
            </w:r>
            <w:r>
              <w:rPr>
                <w:b/>
                <w:spacing w:val="-2"/>
                <w:sz w:val="20"/>
              </w:rPr>
              <w:t>(1+2)</w:t>
            </w:r>
          </w:p>
        </w:tc>
        <w:tc>
          <w:tcPr>
            <w:tcW w:w="910" w:type="dxa"/>
          </w:tcPr>
          <w:p>
            <w:pPr>
              <w:pStyle w:val="TableParagraph"/>
              <w:rPr>
                <w:rFonts w:ascii="Times New Roman"/>
                <w:sz w:val="18"/>
              </w:rPr>
            </w:pPr>
          </w:p>
        </w:tc>
        <w:tc>
          <w:tcPr>
            <w:tcW w:w="913" w:type="dxa"/>
          </w:tcPr>
          <w:p>
            <w:pPr>
              <w:pStyle w:val="TableParagraph"/>
              <w:rPr>
                <w:rFonts w:ascii="Times New Roman"/>
                <w:sz w:val="18"/>
              </w:rPr>
            </w:pPr>
          </w:p>
        </w:tc>
        <w:tc>
          <w:tcPr>
            <w:tcW w:w="913" w:type="dxa"/>
          </w:tcPr>
          <w:p>
            <w:pPr>
              <w:pStyle w:val="TableParagraph"/>
              <w:rPr>
                <w:rFonts w:ascii="Times New Roman"/>
                <w:sz w:val="18"/>
              </w:rPr>
            </w:pPr>
          </w:p>
        </w:tc>
        <w:tc>
          <w:tcPr>
            <w:tcW w:w="911" w:type="dxa"/>
          </w:tcPr>
          <w:p>
            <w:pPr>
              <w:pStyle w:val="TableParagraph"/>
              <w:rPr>
                <w:rFonts w:ascii="Times New Roman"/>
                <w:sz w:val="18"/>
              </w:rPr>
            </w:pPr>
          </w:p>
        </w:tc>
        <w:tc>
          <w:tcPr>
            <w:tcW w:w="913" w:type="dxa"/>
          </w:tcPr>
          <w:p>
            <w:pPr>
              <w:pStyle w:val="TableParagraph"/>
              <w:rPr>
                <w:rFonts w:ascii="Times New Roman"/>
                <w:sz w:val="18"/>
              </w:rPr>
            </w:pPr>
          </w:p>
        </w:tc>
        <w:tc>
          <w:tcPr>
            <w:tcW w:w="680" w:type="dxa"/>
          </w:tcPr>
          <w:p>
            <w:pPr>
              <w:pStyle w:val="TableParagraph"/>
              <w:rPr>
                <w:rFonts w:ascii="Times New Roman"/>
                <w:sz w:val="18"/>
              </w:rPr>
            </w:pPr>
          </w:p>
        </w:tc>
      </w:tr>
      <w:tr>
        <w:trPr>
          <w:trHeight w:val="467" w:hRule="atLeast"/>
        </w:trPr>
        <w:tc>
          <w:tcPr>
            <w:tcW w:w="430" w:type="dxa"/>
          </w:tcPr>
          <w:p>
            <w:pPr>
              <w:pStyle w:val="TableParagraph"/>
              <w:spacing w:before="74"/>
              <w:ind w:left="107"/>
              <w:rPr>
                <w:b/>
                <w:sz w:val="20"/>
              </w:rPr>
            </w:pPr>
            <w:r>
              <w:rPr>
                <w:b/>
                <w:w w:val="99"/>
                <w:sz w:val="20"/>
              </w:rPr>
              <w:t>4</w:t>
            </w:r>
          </w:p>
        </w:tc>
        <w:tc>
          <w:tcPr>
            <w:tcW w:w="1700" w:type="dxa"/>
          </w:tcPr>
          <w:p>
            <w:pPr>
              <w:pStyle w:val="TableParagraph"/>
              <w:spacing w:before="74"/>
              <w:ind w:left="105"/>
              <w:rPr>
                <w:b/>
                <w:sz w:val="20"/>
              </w:rPr>
            </w:pPr>
            <w:r>
              <w:rPr>
                <w:b/>
                <w:spacing w:val="-2"/>
                <w:sz w:val="20"/>
              </w:rPr>
              <w:t>Inversiones</w:t>
            </w:r>
          </w:p>
        </w:tc>
        <w:tc>
          <w:tcPr>
            <w:tcW w:w="910" w:type="dxa"/>
          </w:tcPr>
          <w:p>
            <w:pPr>
              <w:pStyle w:val="TableParagraph"/>
              <w:rPr>
                <w:rFonts w:ascii="Times New Roman"/>
                <w:sz w:val="18"/>
              </w:rPr>
            </w:pPr>
          </w:p>
        </w:tc>
        <w:tc>
          <w:tcPr>
            <w:tcW w:w="913" w:type="dxa"/>
          </w:tcPr>
          <w:p>
            <w:pPr>
              <w:pStyle w:val="TableParagraph"/>
              <w:rPr>
                <w:rFonts w:ascii="Times New Roman"/>
                <w:sz w:val="18"/>
              </w:rPr>
            </w:pPr>
          </w:p>
        </w:tc>
        <w:tc>
          <w:tcPr>
            <w:tcW w:w="913" w:type="dxa"/>
          </w:tcPr>
          <w:p>
            <w:pPr>
              <w:pStyle w:val="TableParagraph"/>
              <w:rPr>
                <w:rFonts w:ascii="Times New Roman"/>
                <w:sz w:val="18"/>
              </w:rPr>
            </w:pPr>
          </w:p>
        </w:tc>
        <w:tc>
          <w:tcPr>
            <w:tcW w:w="911" w:type="dxa"/>
          </w:tcPr>
          <w:p>
            <w:pPr>
              <w:pStyle w:val="TableParagraph"/>
              <w:rPr>
                <w:rFonts w:ascii="Times New Roman"/>
                <w:sz w:val="18"/>
              </w:rPr>
            </w:pPr>
          </w:p>
        </w:tc>
        <w:tc>
          <w:tcPr>
            <w:tcW w:w="913" w:type="dxa"/>
          </w:tcPr>
          <w:p>
            <w:pPr>
              <w:pStyle w:val="TableParagraph"/>
              <w:rPr>
                <w:rFonts w:ascii="Times New Roman"/>
                <w:sz w:val="18"/>
              </w:rPr>
            </w:pPr>
          </w:p>
        </w:tc>
        <w:tc>
          <w:tcPr>
            <w:tcW w:w="680" w:type="dxa"/>
          </w:tcPr>
          <w:p>
            <w:pPr>
              <w:pStyle w:val="TableParagraph"/>
              <w:rPr>
                <w:rFonts w:ascii="Times New Roman"/>
                <w:sz w:val="18"/>
              </w:rPr>
            </w:pPr>
          </w:p>
        </w:tc>
      </w:tr>
      <w:tr>
        <w:trPr>
          <w:trHeight w:val="731" w:hRule="atLeast"/>
        </w:trPr>
        <w:tc>
          <w:tcPr>
            <w:tcW w:w="430" w:type="dxa"/>
          </w:tcPr>
          <w:p>
            <w:pPr>
              <w:pStyle w:val="TableParagraph"/>
              <w:spacing w:before="71"/>
              <w:ind w:left="107"/>
              <w:rPr>
                <w:b/>
                <w:sz w:val="20"/>
              </w:rPr>
            </w:pPr>
            <w:r>
              <w:rPr>
                <w:b/>
                <w:w w:val="99"/>
                <w:sz w:val="20"/>
              </w:rPr>
              <w:t>5</w:t>
            </w:r>
          </w:p>
        </w:tc>
        <w:tc>
          <w:tcPr>
            <w:tcW w:w="1700" w:type="dxa"/>
          </w:tcPr>
          <w:p>
            <w:pPr>
              <w:pStyle w:val="TableParagraph"/>
              <w:spacing w:line="256" w:lineRule="auto" w:before="71"/>
              <w:ind w:left="105" w:right="167"/>
              <w:rPr>
                <w:b/>
                <w:sz w:val="20"/>
              </w:rPr>
            </w:pPr>
            <w:r>
              <w:rPr>
                <w:b/>
                <w:sz w:val="20"/>
              </w:rPr>
              <w:t>Actividades</w:t>
            </w:r>
            <w:r>
              <w:rPr>
                <w:b/>
                <w:spacing w:val="-14"/>
                <w:sz w:val="20"/>
              </w:rPr>
              <w:t> </w:t>
            </w:r>
            <w:r>
              <w:rPr>
                <w:b/>
                <w:sz w:val="20"/>
              </w:rPr>
              <w:t>en </w:t>
            </w:r>
            <w:r>
              <w:rPr>
                <w:b/>
                <w:spacing w:val="-2"/>
                <w:sz w:val="20"/>
              </w:rPr>
              <w:t>Dinamarca</w:t>
            </w:r>
          </w:p>
        </w:tc>
        <w:tc>
          <w:tcPr>
            <w:tcW w:w="910" w:type="dxa"/>
          </w:tcPr>
          <w:p>
            <w:pPr>
              <w:pStyle w:val="TableParagraph"/>
              <w:rPr>
                <w:rFonts w:ascii="Times New Roman"/>
                <w:sz w:val="18"/>
              </w:rPr>
            </w:pPr>
          </w:p>
        </w:tc>
        <w:tc>
          <w:tcPr>
            <w:tcW w:w="913" w:type="dxa"/>
          </w:tcPr>
          <w:p>
            <w:pPr>
              <w:pStyle w:val="TableParagraph"/>
              <w:rPr>
                <w:rFonts w:ascii="Times New Roman"/>
                <w:sz w:val="18"/>
              </w:rPr>
            </w:pPr>
          </w:p>
        </w:tc>
        <w:tc>
          <w:tcPr>
            <w:tcW w:w="913" w:type="dxa"/>
          </w:tcPr>
          <w:p>
            <w:pPr>
              <w:pStyle w:val="TableParagraph"/>
              <w:rPr>
                <w:rFonts w:ascii="Times New Roman"/>
                <w:sz w:val="18"/>
              </w:rPr>
            </w:pPr>
          </w:p>
        </w:tc>
        <w:tc>
          <w:tcPr>
            <w:tcW w:w="911" w:type="dxa"/>
          </w:tcPr>
          <w:p>
            <w:pPr>
              <w:pStyle w:val="TableParagraph"/>
              <w:rPr>
                <w:rFonts w:ascii="Times New Roman"/>
                <w:sz w:val="18"/>
              </w:rPr>
            </w:pPr>
          </w:p>
        </w:tc>
        <w:tc>
          <w:tcPr>
            <w:tcW w:w="913" w:type="dxa"/>
          </w:tcPr>
          <w:p>
            <w:pPr>
              <w:pStyle w:val="TableParagraph"/>
              <w:rPr>
                <w:rFonts w:ascii="Times New Roman"/>
                <w:sz w:val="18"/>
              </w:rPr>
            </w:pPr>
          </w:p>
        </w:tc>
        <w:tc>
          <w:tcPr>
            <w:tcW w:w="680" w:type="dxa"/>
          </w:tcPr>
          <w:p>
            <w:pPr>
              <w:pStyle w:val="TableParagraph"/>
              <w:rPr>
                <w:rFonts w:ascii="Times New Roman"/>
                <w:sz w:val="18"/>
              </w:rPr>
            </w:pPr>
          </w:p>
        </w:tc>
      </w:tr>
      <w:tr>
        <w:trPr>
          <w:trHeight w:val="515" w:hRule="atLeast"/>
        </w:trPr>
        <w:tc>
          <w:tcPr>
            <w:tcW w:w="430" w:type="dxa"/>
          </w:tcPr>
          <w:p>
            <w:pPr>
              <w:pStyle w:val="TableParagraph"/>
              <w:spacing w:before="71"/>
              <w:ind w:left="107"/>
              <w:rPr>
                <w:b/>
                <w:sz w:val="20"/>
              </w:rPr>
            </w:pPr>
            <w:r>
              <w:rPr>
                <w:b/>
                <w:w w:val="99"/>
                <w:sz w:val="20"/>
              </w:rPr>
              <w:t>6</w:t>
            </w:r>
          </w:p>
        </w:tc>
        <w:tc>
          <w:tcPr>
            <w:tcW w:w="1700" w:type="dxa"/>
          </w:tcPr>
          <w:p>
            <w:pPr>
              <w:pStyle w:val="TableParagraph"/>
              <w:spacing w:before="71"/>
              <w:ind w:left="105"/>
              <w:rPr>
                <w:b/>
                <w:sz w:val="20"/>
              </w:rPr>
            </w:pPr>
            <w:r>
              <w:rPr>
                <w:b/>
                <w:spacing w:val="-2"/>
                <w:sz w:val="20"/>
              </w:rPr>
              <w:t>Viajes</w:t>
            </w:r>
          </w:p>
        </w:tc>
        <w:tc>
          <w:tcPr>
            <w:tcW w:w="910" w:type="dxa"/>
          </w:tcPr>
          <w:p>
            <w:pPr>
              <w:pStyle w:val="TableParagraph"/>
              <w:rPr>
                <w:rFonts w:ascii="Times New Roman"/>
                <w:sz w:val="18"/>
              </w:rPr>
            </w:pPr>
          </w:p>
        </w:tc>
        <w:tc>
          <w:tcPr>
            <w:tcW w:w="913" w:type="dxa"/>
          </w:tcPr>
          <w:p>
            <w:pPr>
              <w:pStyle w:val="TableParagraph"/>
              <w:rPr>
                <w:rFonts w:ascii="Times New Roman"/>
                <w:sz w:val="18"/>
              </w:rPr>
            </w:pPr>
          </w:p>
        </w:tc>
        <w:tc>
          <w:tcPr>
            <w:tcW w:w="913" w:type="dxa"/>
          </w:tcPr>
          <w:p>
            <w:pPr>
              <w:pStyle w:val="TableParagraph"/>
              <w:rPr>
                <w:rFonts w:ascii="Times New Roman"/>
                <w:sz w:val="18"/>
              </w:rPr>
            </w:pPr>
          </w:p>
        </w:tc>
        <w:tc>
          <w:tcPr>
            <w:tcW w:w="911" w:type="dxa"/>
          </w:tcPr>
          <w:p>
            <w:pPr>
              <w:pStyle w:val="TableParagraph"/>
              <w:rPr>
                <w:rFonts w:ascii="Times New Roman"/>
                <w:sz w:val="18"/>
              </w:rPr>
            </w:pPr>
          </w:p>
        </w:tc>
        <w:tc>
          <w:tcPr>
            <w:tcW w:w="913" w:type="dxa"/>
          </w:tcPr>
          <w:p>
            <w:pPr>
              <w:pStyle w:val="TableParagraph"/>
              <w:rPr>
                <w:rFonts w:ascii="Times New Roman"/>
                <w:sz w:val="18"/>
              </w:rPr>
            </w:pPr>
          </w:p>
        </w:tc>
        <w:tc>
          <w:tcPr>
            <w:tcW w:w="680" w:type="dxa"/>
          </w:tcPr>
          <w:p>
            <w:pPr>
              <w:pStyle w:val="TableParagraph"/>
              <w:rPr>
                <w:rFonts w:ascii="Times New Roman"/>
                <w:sz w:val="18"/>
              </w:rPr>
            </w:pPr>
          </w:p>
        </w:tc>
      </w:tr>
      <w:tr>
        <w:trPr>
          <w:trHeight w:val="995" w:hRule="atLeast"/>
        </w:trPr>
        <w:tc>
          <w:tcPr>
            <w:tcW w:w="430" w:type="dxa"/>
          </w:tcPr>
          <w:p>
            <w:pPr>
              <w:pStyle w:val="TableParagraph"/>
              <w:spacing w:before="71"/>
              <w:ind w:left="107"/>
              <w:rPr>
                <w:b/>
                <w:sz w:val="20"/>
              </w:rPr>
            </w:pPr>
            <w:r>
              <w:rPr>
                <w:b/>
                <w:w w:val="99"/>
                <w:sz w:val="20"/>
              </w:rPr>
              <w:t>7</w:t>
            </w:r>
          </w:p>
        </w:tc>
        <w:tc>
          <w:tcPr>
            <w:tcW w:w="1700" w:type="dxa"/>
          </w:tcPr>
          <w:p>
            <w:pPr>
              <w:pStyle w:val="TableParagraph"/>
              <w:spacing w:line="259" w:lineRule="auto" w:before="71"/>
              <w:ind w:left="105" w:right="139"/>
              <w:jc w:val="both"/>
              <w:rPr>
                <w:b/>
                <w:sz w:val="20"/>
              </w:rPr>
            </w:pPr>
            <w:r>
              <w:rPr>
                <w:b/>
                <w:sz w:val="20"/>
              </w:rPr>
              <w:t>Colaboración</w:t>
            </w:r>
            <w:r>
              <w:rPr>
                <w:b/>
                <w:spacing w:val="-14"/>
                <w:sz w:val="20"/>
              </w:rPr>
              <w:t> </w:t>
            </w:r>
            <w:r>
              <w:rPr>
                <w:b/>
                <w:sz w:val="20"/>
              </w:rPr>
              <w:t>e intercambio</w:t>
            </w:r>
            <w:r>
              <w:rPr>
                <w:b/>
                <w:spacing w:val="-14"/>
                <w:sz w:val="20"/>
              </w:rPr>
              <w:t> </w:t>
            </w:r>
            <w:r>
              <w:rPr>
                <w:b/>
                <w:sz w:val="20"/>
              </w:rPr>
              <w:t>de </w:t>
            </w:r>
            <w:r>
              <w:rPr>
                <w:b/>
                <w:spacing w:val="-2"/>
                <w:sz w:val="20"/>
              </w:rPr>
              <w:t>conocimientos</w:t>
            </w:r>
          </w:p>
        </w:tc>
        <w:tc>
          <w:tcPr>
            <w:tcW w:w="910" w:type="dxa"/>
          </w:tcPr>
          <w:p>
            <w:pPr>
              <w:pStyle w:val="TableParagraph"/>
              <w:rPr>
                <w:rFonts w:ascii="Times New Roman"/>
                <w:sz w:val="18"/>
              </w:rPr>
            </w:pPr>
          </w:p>
        </w:tc>
        <w:tc>
          <w:tcPr>
            <w:tcW w:w="913" w:type="dxa"/>
          </w:tcPr>
          <w:p>
            <w:pPr>
              <w:pStyle w:val="TableParagraph"/>
              <w:rPr>
                <w:rFonts w:ascii="Times New Roman"/>
                <w:sz w:val="18"/>
              </w:rPr>
            </w:pPr>
          </w:p>
        </w:tc>
        <w:tc>
          <w:tcPr>
            <w:tcW w:w="913" w:type="dxa"/>
          </w:tcPr>
          <w:p>
            <w:pPr>
              <w:pStyle w:val="TableParagraph"/>
              <w:rPr>
                <w:rFonts w:ascii="Times New Roman"/>
                <w:sz w:val="18"/>
              </w:rPr>
            </w:pPr>
          </w:p>
        </w:tc>
        <w:tc>
          <w:tcPr>
            <w:tcW w:w="911" w:type="dxa"/>
          </w:tcPr>
          <w:p>
            <w:pPr>
              <w:pStyle w:val="TableParagraph"/>
              <w:rPr>
                <w:rFonts w:ascii="Times New Roman"/>
                <w:sz w:val="18"/>
              </w:rPr>
            </w:pPr>
          </w:p>
        </w:tc>
        <w:tc>
          <w:tcPr>
            <w:tcW w:w="913" w:type="dxa"/>
          </w:tcPr>
          <w:p>
            <w:pPr>
              <w:pStyle w:val="TableParagraph"/>
              <w:rPr>
                <w:rFonts w:ascii="Times New Roman"/>
                <w:sz w:val="18"/>
              </w:rPr>
            </w:pPr>
          </w:p>
        </w:tc>
        <w:tc>
          <w:tcPr>
            <w:tcW w:w="680" w:type="dxa"/>
          </w:tcPr>
          <w:p>
            <w:pPr>
              <w:pStyle w:val="TableParagraph"/>
              <w:rPr>
                <w:rFonts w:ascii="Times New Roman"/>
                <w:sz w:val="18"/>
              </w:rPr>
            </w:pPr>
          </w:p>
        </w:tc>
      </w:tr>
      <w:tr>
        <w:trPr>
          <w:trHeight w:val="818" w:hRule="atLeast"/>
        </w:trPr>
        <w:tc>
          <w:tcPr>
            <w:tcW w:w="430" w:type="dxa"/>
          </w:tcPr>
          <w:p>
            <w:pPr>
              <w:pStyle w:val="TableParagraph"/>
              <w:spacing w:before="71"/>
              <w:ind w:left="107"/>
              <w:rPr>
                <w:b/>
                <w:sz w:val="20"/>
              </w:rPr>
            </w:pPr>
            <w:r>
              <w:rPr>
                <w:b/>
                <w:w w:val="99"/>
                <w:sz w:val="20"/>
              </w:rPr>
              <w:t>8</w:t>
            </w:r>
          </w:p>
        </w:tc>
        <w:tc>
          <w:tcPr>
            <w:tcW w:w="1700" w:type="dxa"/>
          </w:tcPr>
          <w:p>
            <w:pPr>
              <w:pStyle w:val="TableParagraph"/>
              <w:spacing w:before="71"/>
              <w:ind w:left="105"/>
              <w:rPr>
                <w:b/>
                <w:sz w:val="20"/>
              </w:rPr>
            </w:pPr>
            <w:r>
              <w:rPr>
                <w:b/>
                <w:sz w:val="20"/>
              </w:rPr>
              <w:t>Gastos</w:t>
            </w:r>
            <w:r>
              <w:rPr>
                <w:b/>
                <w:spacing w:val="-10"/>
                <w:sz w:val="20"/>
              </w:rPr>
              <w:t> </w:t>
            </w:r>
            <w:r>
              <w:rPr>
                <w:b/>
                <w:spacing w:val="-2"/>
                <w:sz w:val="20"/>
              </w:rPr>
              <w:t>totales</w:t>
            </w:r>
          </w:p>
          <w:p>
            <w:pPr>
              <w:pStyle w:val="TableParagraph"/>
              <w:spacing w:line="240" w:lineRule="atLeast" w:before="10"/>
              <w:ind w:left="105" w:right="273"/>
              <w:rPr>
                <w:b/>
                <w:sz w:val="20"/>
              </w:rPr>
            </w:pPr>
            <w:r>
              <w:rPr>
                <w:b/>
                <w:sz w:val="20"/>
              </w:rPr>
              <w:t>en</w:t>
            </w:r>
            <w:r>
              <w:rPr>
                <w:b/>
                <w:spacing w:val="-14"/>
                <w:sz w:val="20"/>
              </w:rPr>
              <w:t> </w:t>
            </w:r>
            <w:r>
              <w:rPr>
                <w:b/>
                <w:sz w:val="20"/>
              </w:rPr>
              <w:t>Dinamarca </w:t>
            </w:r>
            <w:r>
              <w:rPr>
                <w:b/>
                <w:spacing w:val="-2"/>
                <w:sz w:val="20"/>
              </w:rPr>
              <w:t>(1-7)</w:t>
            </w:r>
          </w:p>
        </w:tc>
        <w:tc>
          <w:tcPr>
            <w:tcW w:w="910" w:type="dxa"/>
          </w:tcPr>
          <w:p>
            <w:pPr>
              <w:pStyle w:val="TableParagraph"/>
              <w:rPr>
                <w:rFonts w:ascii="Times New Roman"/>
                <w:sz w:val="18"/>
              </w:rPr>
            </w:pPr>
          </w:p>
        </w:tc>
        <w:tc>
          <w:tcPr>
            <w:tcW w:w="913" w:type="dxa"/>
          </w:tcPr>
          <w:p>
            <w:pPr>
              <w:pStyle w:val="TableParagraph"/>
              <w:rPr>
                <w:rFonts w:ascii="Times New Roman"/>
                <w:sz w:val="18"/>
              </w:rPr>
            </w:pPr>
          </w:p>
        </w:tc>
        <w:tc>
          <w:tcPr>
            <w:tcW w:w="913" w:type="dxa"/>
          </w:tcPr>
          <w:p>
            <w:pPr>
              <w:pStyle w:val="TableParagraph"/>
              <w:rPr>
                <w:rFonts w:ascii="Times New Roman"/>
                <w:sz w:val="18"/>
              </w:rPr>
            </w:pPr>
          </w:p>
        </w:tc>
        <w:tc>
          <w:tcPr>
            <w:tcW w:w="911" w:type="dxa"/>
          </w:tcPr>
          <w:p>
            <w:pPr>
              <w:pStyle w:val="TableParagraph"/>
              <w:rPr>
                <w:rFonts w:ascii="Times New Roman"/>
                <w:sz w:val="18"/>
              </w:rPr>
            </w:pPr>
          </w:p>
        </w:tc>
        <w:tc>
          <w:tcPr>
            <w:tcW w:w="913" w:type="dxa"/>
          </w:tcPr>
          <w:p>
            <w:pPr>
              <w:pStyle w:val="TableParagraph"/>
              <w:rPr>
                <w:rFonts w:ascii="Times New Roman"/>
                <w:sz w:val="18"/>
              </w:rPr>
            </w:pPr>
          </w:p>
        </w:tc>
        <w:tc>
          <w:tcPr>
            <w:tcW w:w="680" w:type="dxa"/>
          </w:tcPr>
          <w:p>
            <w:pPr>
              <w:pStyle w:val="TableParagraph"/>
              <w:rPr>
                <w:rFonts w:ascii="Times New Roman"/>
                <w:sz w:val="18"/>
              </w:rPr>
            </w:pPr>
          </w:p>
        </w:tc>
      </w:tr>
      <w:tr>
        <w:trPr>
          <w:trHeight w:val="731" w:hRule="atLeast"/>
        </w:trPr>
        <w:tc>
          <w:tcPr>
            <w:tcW w:w="430" w:type="dxa"/>
          </w:tcPr>
          <w:p>
            <w:pPr>
              <w:pStyle w:val="TableParagraph"/>
              <w:spacing w:before="71"/>
              <w:ind w:left="107"/>
              <w:rPr>
                <w:b/>
                <w:sz w:val="20"/>
              </w:rPr>
            </w:pPr>
            <w:r>
              <w:rPr>
                <w:b/>
                <w:w w:val="99"/>
                <w:sz w:val="20"/>
              </w:rPr>
              <w:t>9</w:t>
            </w:r>
          </w:p>
        </w:tc>
        <w:tc>
          <w:tcPr>
            <w:tcW w:w="1700" w:type="dxa"/>
          </w:tcPr>
          <w:p>
            <w:pPr>
              <w:pStyle w:val="TableParagraph"/>
              <w:spacing w:line="256" w:lineRule="auto" w:before="71"/>
              <w:ind w:left="105" w:right="98"/>
              <w:rPr>
                <w:b/>
                <w:sz w:val="20"/>
              </w:rPr>
            </w:pPr>
            <w:r>
              <w:rPr>
                <w:b/>
                <w:spacing w:val="-2"/>
                <w:sz w:val="20"/>
              </w:rPr>
              <w:t>Transferencias </w:t>
            </w:r>
            <w:r>
              <w:rPr>
                <w:b/>
                <w:sz w:val="20"/>
              </w:rPr>
              <w:t>a los socios</w:t>
            </w:r>
          </w:p>
        </w:tc>
        <w:tc>
          <w:tcPr>
            <w:tcW w:w="910" w:type="dxa"/>
          </w:tcPr>
          <w:p>
            <w:pPr>
              <w:pStyle w:val="TableParagraph"/>
              <w:rPr>
                <w:rFonts w:ascii="Times New Roman"/>
                <w:sz w:val="18"/>
              </w:rPr>
            </w:pPr>
          </w:p>
        </w:tc>
        <w:tc>
          <w:tcPr>
            <w:tcW w:w="913" w:type="dxa"/>
          </w:tcPr>
          <w:p>
            <w:pPr>
              <w:pStyle w:val="TableParagraph"/>
              <w:rPr>
                <w:rFonts w:ascii="Times New Roman"/>
                <w:sz w:val="18"/>
              </w:rPr>
            </w:pPr>
          </w:p>
        </w:tc>
        <w:tc>
          <w:tcPr>
            <w:tcW w:w="913" w:type="dxa"/>
          </w:tcPr>
          <w:p>
            <w:pPr>
              <w:pStyle w:val="TableParagraph"/>
              <w:rPr>
                <w:rFonts w:ascii="Times New Roman"/>
                <w:sz w:val="18"/>
              </w:rPr>
            </w:pPr>
          </w:p>
        </w:tc>
        <w:tc>
          <w:tcPr>
            <w:tcW w:w="911" w:type="dxa"/>
          </w:tcPr>
          <w:p>
            <w:pPr>
              <w:pStyle w:val="TableParagraph"/>
              <w:rPr>
                <w:rFonts w:ascii="Times New Roman"/>
                <w:sz w:val="18"/>
              </w:rPr>
            </w:pPr>
          </w:p>
        </w:tc>
        <w:tc>
          <w:tcPr>
            <w:tcW w:w="913" w:type="dxa"/>
          </w:tcPr>
          <w:p>
            <w:pPr>
              <w:pStyle w:val="TableParagraph"/>
              <w:rPr>
                <w:rFonts w:ascii="Times New Roman"/>
                <w:sz w:val="18"/>
              </w:rPr>
            </w:pPr>
          </w:p>
        </w:tc>
        <w:tc>
          <w:tcPr>
            <w:tcW w:w="680" w:type="dxa"/>
          </w:tcPr>
          <w:p>
            <w:pPr>
              <w:pStyle w:val="TableParagraph"/>
              <w:rPr>
                <w:rFonts w:ascii="Times New Roman"/>
                <w:sz w:val="18"/>
              </w:rPr>
            </w:pPr>
          </w:p>
        </w:tc>
      </w:tr>
      <w:tr>
        <w:trPr>
          <w:trHeight w:val="568" w:hRule="atLeast"/>
        </w:trPr>
        <w:tc>
          <w:tcPr>
            <w:tcW w:w="430" w:type="dxa"/>
          </w:tcPr>
          <w:p>
            <w:pPr>
              <w:pStyle w:val="TableParagraph"/>
              <w:spacing w:before="71"/>
              <w:ind w:left="107"/>
              <w:rPr>
                <w:b/>
                <w:sz w:val="20"/>
              </w:rPr>
            </w:pPr>
            <w:r>
              <w:rPr>
                <w:b/>
                <w:spacing w:val="-5"/>
                <w:sz w:val="20"/>
              </w:rPr>
              <w:t>10</w:t>
            </w:r>
          </w:p>
        </w:tc>
        <w:tc>
          <w:tcPr>
            <w:tcW w:w="1700" w:type="dxa"/>
          </w:tcPr>
          <w:p>
            <w:pPr>
              <w:pStyle w:val="TableParagraph"/>
              <w:spacing w:line="240" w:lineRule="atLeast" w:before="61"/>
              <w:ind w:left="105" w:right="386"/>
              <w:rPr>
                <w:b/>
                <w:sz w:val="20"/>
              </w:rPr>
            </w:pPr>
            <w:r>
              <w:rPr>
                <w:b/>
                <w:sz w:val="20"/>
              </w:rPr>
              <w:t>Margen del </w:t>
            </w:r>
            <w:r>
              <w:rPr>
                <w:b/>
                <w:spacing w:val="-2"/>
                <w:sz w:val="20"/>
              </w:rPr>
              <w:t>presupuesto</w:t>
            </w:r>
          </w:p>
        </w:tc>
        <w:tc>
          <w:tcPr>
            <w:tcW w:w="910" w:type="dxa"/>
          </w:tcPr>
          <w:p>
            <w:pPr>
              <w:pStyle w:val="TableParagraph"/>
              <w:rPr>
                <w:rFonts w:ascii="Times New Roman"/>
                <w:sz w:val="18"/>
              </w:rPr>
            </w:pPr>
          </w:p>
        </w:tc>
        <w:tc>
          <w:tcPr>
            <w:tcW w:w="913" w:type="dxa"/>
          </w:tcPr>
          <w:p>
            <w:pPr>
              <w:pStyle w:val="TableParagraph"/>
              <w:rPr>
                <w:rFonts w:ascii="Times New Roman"/>
                <w:sz w:val="18"/>
              </w:rPr>
            </w:pPr>
          </w:p>
        </w:tc>
        <w:tc>
          <w:tcPr>
            <w:tcW w:w="913" w:type="dxa"/>
          </w:tcPr>
          <w:p>
            <w:pPr>
              <w:pStyle w:val="TableParagraph"/>
              <w:rPr>
                <w:rFonts w:ascii="Times New Roman"/>
                <w:sz w:val="18"/>
              </w:rPr>
            </w:pPr>
          </w:p>
        </w:tc>
        <w:tc>
          <w:tcPr>
            <w:tcW w:w="911" w:type="dxa"/>
          </w:tcPr>
          <w:p>
            <w:pPr>
              <w:pStyle w:val="TableParagraph"/>
              <w:rPr>
                <w:rFonts w:ascii="Times New Roman"/>
                <w:sz w:val="18"/>
              </w:rPr>
            </w:pPr>
          </w:p>
        </w:tc>
        <w:tc>
          <w:tcPr>
            <w:tcW w:w="913" w:type="dxa"/>
          </w:tcPr>
          <w:p>
            <w:pPr>
              <w:pStyle w:val="TableParagraph"/>
              <w:rPr>
                <w:rFonts w:ascii="Times New Roman"/>
                <w:sz w:val="18"/>
              </w:rPr>
            </w:pPr>
          </w:p>
        </w:tc>
        <w:tc>
          <w:tcPr>
            <w:tcW w:w="680" w:type="dxa"/>
          </w:tcPr>
          <w:p>
            <w:pPr>
              <w:pStyle w:val="TableParagraph"/>
              <w:rPr>
                <w:rFonts w:ascii="Times New Roman"/>
                <w:sz w:val="18"/>
              </w:rPr>
            </w:pPr>
          </w:p>
        </w:tc>
      </w:tr>
      <w:tr>
        <w:trPr>
          <w:trHeight w:val="489" w:hRule="atLeast"/>
        </w:trPr>
        <w:tc>
          <w:tcPr>
            <w:tcW w:w="430" w:type="dxa"/>
          </w:tcPr>
          <w:p>
            <w:pPr>
              <w:pStyle w:val="TableParagraph"/>
              <w:spacing w:before="71"/>
              <w:ind w:left="107"/>
              <w:rPr>
                <w:b/>
                <w:sz w:val="20"/>
              </w:rPr>
            </w:pPr>
            <w:r>
              <w:rPr>
                <w:b/>
                <w:spacing w:val="-5"/>
                <w:sz w:val="20"/>
              </w:rPr>
              <w:t>11</w:t>
            </w:r>
          </w:p>
        </w:tc>
        <w:tc>
          <w:tcPr>
            <w:tcW w:w="1700" w:type="dxa"/>
          </w:tcPr>
          <w:p>
            <w:pPr>
              <w:pStyle w:val="TableParagraph"/>
              <w:spacing w:before="71"/>
              <w:ind w:left="105"/>
              <w:rPr>
                <w:b/>
                <w:sz w:val="20"/>
              </w:rPr>
            </w:pPr>
            <w:r>
              <w:rPr>
                <w:b/>
                <w:spacing w:val="-2"/>
                <w:sz w:val="20"/>
              </w:rPr>
              <w:t>Auditoría</w:t>
            </w:r>
          </w:p>
        </w:tc>
        <w:tc>
          <w:tcPr>
            <w:tcW w:w="910" w:type="dxa"/>
          </w:tcPr>
          <w:p>
            <w:pPr>
              <w:pStyle w:val="TableParagraph"/>
              <w:rPr>
                <w:rFonts w:ascii="Times New Roman"/>
                <w:sz w:val="18"/>
              </w:rPr>
            </w:pPr>
          </w:p>
        </w:tc>
        <w:tc>
          <w:tcPr>
            <w:tcW w:w="913" w:type="dxa"/>
          </w:tcPr>
          <w:p>
            <w:pPr>
              <w:pStyle w:val="TableParagraph"/>
              <w:rPr>
                <w:rFonts w:ascii="Times New Roman"/>
                <w:sz w:val="18"/>
              </w:rPr>
            </w:pPr>
          </w:p>
        </w:tc>
        <w:tc>
          <w:tcPr>
            <w:tcW w:w="913" w:type="dxa"/>
          </w:tcPr>
          <w:p>
            <w:pPr>
              <w:pStyle w:val="TableParagraph"/>
              <w:rPr>
                <w:rFonts w:ascii="Times New Roman"/>
                <w:sz w:val="18"/>
              </w:rPr>
            </w:pPr>
          </w:p>
        </w:tc>
        <w:tc>
          <w:tcPr>
            <w:tcW w:w="911" w:type="dxa"/>
          </w:tcPr>
          <w:p>
            <w:pPr>
              <w:pStyle w:val="TableParagraph"/>
              <w:rPr>
                <w:rFonts w:ascii="Times New Roman"/>
                <w:sz w:val="18"/>
              </w:rPr>
            </w:pPr>
          </w:p>
        </w:tc>
        <w:tc>
          <w:tcPr>
            <w:tcW w:w="913" w:type="dxa"/>
          </w:tcPr>
          <w:p>
            <w:pPr>
              <w:pStyle w:val="TableParagraph"/>
              <w:rPr>
                <w:rFonts w:ascii="Times New Roman"/>
                <w:sz w:val="18"/>
              </w:rPr>
            </w:pPr>
          </w:p>
        </w:tc>
        <w:tc>
          <w:tcPr>
            <w:tcW w:w="680" w:type="dxa"/>
          </w:tcPr>
          <w:p>
            <w:pPr>
              <w:pStyle w:val="TableParagraph"/>
              <w:rPr>
                <w:rFonts w:ascii="Times New Roman"/>
                <w:sz w:val="18"/>
              </w:rPr>
            </w:pPr>
          </w:p>
        </w:tc>
      </w:tr>
      <w:tr>
        <w:trPr>
          <w:trHeight w:val="498" w:hRule="atLeast"/>
        </w:trPr>
        <w:tc>
          <w:tcPr>
            <w:tcW w:w="430" w:type="dxa"/>
          </w:tcPr>
          <w:p>
            <w:pPr>
              <w:pStyle w:val="TableParagraph"/>
              <w:spacing w:before="71"/>
              <w:ind w:left="107"/>
              <w:rPr>
                <w:b/>
                <w:sz w:val="20"/>
              </w:rPr>
            </w:pPr>
            <w:r>
              <w:rPr>
                <w:b/>
                <w:spacing w:val="-5"/>
                <w:sz w:val="20"/>
              </w:rPr>
              <w:t>12</w:t>
            </w:r>
          </w:p>
        </w:tc>
        <w:tc>
          <w:tcPr>
            <w:tcW w:w="1700" w:type="dxa"/>
          </w:tcPr>
          <w:p>
            <w:pPr>
              <w:pStyle w:val="TableParagraph"/>
              <w:spacing w:before="71"/>
              <w:ind w:left="105"/>
              <w:rPr>
                <w:b/>
                <w:sz w:val="20"/>
              </w:rPr>
            </w:pPr>
            <w:r>
              <w:rPr>
                <w:b/>
                <w:spacing w:val="-2"/>
                <w:sz w:val="20"/>
              </w:rPr>
              <w:t>Total</w:t>
            </w:r>
          </w:p>
        </w:tc>
        <w:tc>
          <w:tcPr>
            <w:tcW w:w="910" w:type="dxa"/>
          </w:tcPr>
          <w:p>
            <w:pPr>
              <w:pStyle w:val="TableParagraph"/>
              <w:rPr>
                <w:rFonts w:ascii="Times New Roman"/>
                <w:sz w:val="18"/>
              </w:rPr>
            </w:pPr>
          </w:p>
        </w:tc>
        <w:tc>
          <w:tcPr>
            <w:tcW w:w="913" w:type="dxa"/>
          </w:tcPr>
          <w:p>
            <w:pPr>
              <w:pStyle w:val="TableParagraph"/>
              <w:rPr>
                <w:rFonts w:ascii="Times New Roman"/>
                <w:sz w:val="18"/>
              </w:rPr>
            </w:pPr>
          </w:p>
        </w:tc>
        <w:tc>
          <w:tcPr>
            <w:tcW w:w="913" w:type="dxa"/>
          </w:tcPr>
          <w:p>
            <w:pPr>
              <w:pStyle w:val="TableParagraph"/>
              <w:rPr>
                <w:rFonts w:ascii="Times New Roman"/>
                <w:sz w:val="18"/>
              </w:rPr>
            </w:pPr>
          </w:p>
        </w:tc>
        <w:tc>
          <w:tcPr>
            <w:tcW w:w="911" w:type="dxa"/>
          </w:tcPr>
          <w:p>
            <w:pPr>
              <w:pStyle w:val="TableParagraph"/>
              <w:rPr>
                <w:rFonts w:ascii="Times New Roman"/>
                <w:sz w:val="18"/>
              </w:rPr>
            </w:pPr>
          </w:p>
        </w:tc>
        <w:tc>
          <w:tcPr>
            <w:tcW w:w="913" w:type="dxa"/>
          </w:tcPr>
          <w:p>
            <w:pPr>
              <w:pStyle w:val="TableParagraph"/>
              <w:rPr>
                <w:rFonts w:ascii="Times New Roman"/>
                <w:sz w:val="18"/>
              </w:rPr>
            </w:pPr>
          </w:p>
        </w:tc>
        <w:tc>
          <w:tcPr>
            <w:tcW w:w="680" w:type="dxa"/>
          </w:tcPr>
          <w:p>
            <w:pPr>
              <w:pStyle w:val="TableParagraph"/>
              <w:rPr>
                <w:rFonts w:ascii="Times New Roman"/>
                <w:sz w:val="18"/>
              </w:rPr>
            </w:pPr>
          </w:p>
        </w:tc>
      </w:tr>
    </w:tbl>
    <w:p>
      <w:pPr>
        <w:spacing w:after="0"/>
        <w:rPr>
          <w:rFonts w:ascii="Times New Roman"/>
          <w:sz w:val="18"/>
        </w:rPr>
        <w:sectPr>
          <w:headerReference w:type="default" r:id="rId23"/>
          <w:footerReference w:type="default" r:id="rId24"/>
          <w:pgSz w:w="11910" w:h="16850"/>
          <w:pgMar w:header="718" w:footer="843" w:top="940" w:bottom="1040" w:left="1300" w:right="1400"/>
        </w:sectPr>
      </w:pPr>
    </w:p>
    <w:p>
      <w:pPr>
        <w:spacing w:before="182" w:after="32"/>
        <w:ind w:left="954" w:right="0" w:firstLine="0"/>
        <w:jc w:val="both"/>
        <w:rPr>
          <w:b/>
          <w:i/>
          <w:sz w:val="20"/>
        </w:rPr>
      </w:pPr>
      <w:r>
        <w:rPr>
          <w:b/>
          <w:sz w:val="20"/>
        </w:rPr>
        <w:t>Distribución</w:t>
      </w:r>
      <w:r>
        <w:rPr>
          <w:b/>
          <w:spacing w:val="-8"/>
          <w:sz w:val="20"/>
        </w:rPr>
        <w:t> </w:t>
      </w:r>
      <w:r>
        <w:rPr>
          <w:b/>
          <w:sz w:val="20"/>
        </w:rPr>
        <w:t>de</w:t>
      </w:r>
      <w:r>
        <w:rPr>
          <w:b/>
          <w:spacing w:val="-9"/>
          <w:sz w:val="20"/>
        </w:rPr>
        <w:t> </w:t>
      </w:r>
      <w:r>
        <w:rPr>
          <w:b/>
          <w:sz w:val="20"/>
        </w:rPr>
        <w:t>presupuesto</w:t>
      </w:r>
      <w:r>
        <w:rPr>
          <w:b/>
          <w:spacing w:val="-5"/>
          <w:sz w:val="20"/>
        </w:rPr>
        <w:t> </w:t>
      </w:r>
      <w:r>
        <w:rPr>
          <w:b/>
          <w:sz w:val="20"/>
        </w:rPr>
        <w:t>por</w:t>
      </w:r>
      <w:r>
        <w:rPr>
          <w:b/>
          <w:spacing w:val="-9"/>
          <w:sz w:val="20"/>
        </w:rPr>
        <w:t> </w:t>
      </w:r>
      <w:r>
        <w:rPr>
          <w:b/>
          <w:i/>
          <w:sz w:val="20"/>
        </w:rPr>
        <w:t>output</w:t>
      </w:r>
      <w:r>
        <w:rPr>
          <w:b/>
          <w:i/>
          <w:spacing w:val="-7"/>
          <w:sz w:val="20"/>
        </w:rPr>
        <w:t> </w:t>
      </w:r>
      <w:r>
        <w:rPr>
          <w:b/>
          <w:spacing w:val="-2"/>
          <w:sz w:val="20"/>
        </w:rPr>
        <w:t>(</w:t>
      </w:r>
      <w:r>
        <w:rPr>
          <w:b/>
          <w:i/>
          <w:spacing w:val="-2"/>
          <w:sz w:val="20"/>
        </w:rPr>
        <w:t>resultado)</w:t>
      </w:r>
    </w:p>
    <w:tbl>
      <w:tblPr>
        <w:tblW w:w="0" w:type="auto"/>
        <w:jc w:val="left"/>
        <w:tblInd w:w="108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847"/>
        <w:gridCol w:w="4878"/>
        <w:gridCol w:w="1416"/>
      </w:tblGrid>
      <w:tr>
        <w:trPr>
          <w:trHeight w:val="743" w:hRule="atLeast"/>
        </w:trPr>
        <w:tc>
          <w:tcPr>
            <w:tcW w:w="847" w:type="dxa"/>
            <w:tcBorders>
              <w:bottom w:val="single" w:sz="4" w:space="0" w:color="000000"/>
              <w:right w:val="single" w:sz="4" w:space="0" w:color="000000"/>
            </w:tcBorders>
          </w:tcPr>
          <w:p>
            <w:pPr>
              <w:pStyle w:val="TableParagraph"/>
              <w:spacing w:before="6"/>
              <w:rPr>
                <w:b/>
                <w:i/>
                <w:sz w:val="24"/>
              </w:rPr>
            </w:pPr>
          </w:p>
          <w:p>
            <w:pPr>
              <w:pStyle w:val="TableParagraph"/>
              <w:ind w:left="275" w:right="247"/>
              <w:jc w:val="center"/>
              <w:rPr>
                <w:sz w:val="20"/>
              </w:rPr>
            </w:pPr>
            <w:r>
              <w:rPr>
                <w:spacing w:val="-5"/>
                <w:sz w:val="20"/>
              </w:rPr>
              <w:t>1.1</w:t>
            </w:r>
          </w:p>
        </w:tc>
        <w:tc>
          <w:tcPr>
            <w:tcW w:w="4878" w:type="dxa"/>
            <w:tcBorders>
              <w:left w:val="single" w:sz="4" w:space="0" w:color="000000"/>
              <w:bottom w:val="single" w:sz="4" w:space="0" w:color="000000"/>
              <w:right w:val="single" w:sz="4" w:space="0" w:color="000000"/>
            </w:tcBorders>
          </w:tcPr>
          <w:p>
            <w:pPr>
              <w:pStyle w:val="TableParagraph"/>
              <w:spacing w:line="256" w:lineRule="auto" w:before="74"/>
              <w:ind w:left="151" w:right="105"/>
              <w:rPr>
                <w:sz w:val="20"/>
              </w:rPr>
            </w:pPr>
            <w:r>
              <w:rPr>
                <w:sz w:val="20"/>
              </w:rPr>
              <w:t>Los</w:t>
            </w:r>
            <w:r>
              <w:rPr>
                <w:spacing w:val="-9"/>
                <w:sz w:val="20"/>
              </w:rPr>
              <w:t> </w:t>
            </w:r>
            <w:r>
              <w:rPr>
                <w:sz w:val="20"/>
              </w:rPr>
              <w:t>partidos</w:t>
            </w:r>
            <w:r>
              <w:rPr>
                <w:spacing w:val="-6"/>
                <w:sz w:val="20"/>
              </w:rPr>
              <w:t> </w:t>
            </w:r>
            <w:r>
              <w:rPr>
                <w:sz w:val="20"/>
              </w:rPr>
              <w:t>políticos</w:t>
            </w:r>
            <w:r>
              <w:rPr>
                <w:spacing w:val="-9"/>
                <w:sz w:val="20"/>
              </w:rPr>
              <w:t> </w:t>
            </w:r>
            <w:r>
              <w:rPr>
                <w:sz w:val="20"/>
              </w:rPr>
              <w:t>formulan</w:t>
            </w:r>
            <w:r>
              <w:rPr>
                <w:spacing w:val="-11"/>
                <w:sz w:val="20"/>
              </w:rPr>
              <w:t> </w:t>
            </w:r>
            <w:r>
              <w:rPr>
                <w:sz w:val="20"/>
              </w:rPr>
              <w:t>y</w:t>
            </w:r>
            <w:r>
              <w:rPr>
                <w:spacing w:val="-9"/>
                <w:sz w:val="20"/>
              </w:rPr>
              <w:t> </w:t>
            </w:r>
            <w:r>
              <w:rPr>
                <w:sz w:val="20"/>
              </w:rPr>
              <w:t>comunican soluciones políticas</w:t>
            </w:r>
          </w:p>
        </w:tc>
        <w:tc>
          <w:tcPr>
            <w:tcW w:w="1416" w:type="dxa"/>
            <w:tcBorders>
              <w:left w:val="single" w:sz="4" w:space="0" w:color="000000"/>
              <w:bottom w:val="single" w:sz="4" w:space="0" w:color="000000"/>
            </w:tcBorders>
          </w:tcPr>
          <w:p>
            <w:pPr>
              <w:pStyle w:val="TableParagraph"/>
              <w:rPr>
                <w:rFonts w:ascii="Times New Roman"/>
                <w:sz w:val="18"/>
              </w:rPr>
            </w:pPr>
          </w:p>
        </w:tc>
      </w:tr>
      <w:tr>
        <w:trPr>
          <w:trHeight w:val="729" w:hRule="atLeast"/>
        </w:trPr>
        <w:tc>
          <w:tcPr>
            <w:tcW w:w="847" w:type="dxa"/>
            <w:tcBorders>
              <w:top w:val="single" w:sz="4" w:space="0" w:color="000000"/>
              <w:bottom w:val="single" w:sz="4" w:space="0" w:color="000000"/>
              <w:right w:val="single" w:sz="4" w:space="0" w:color="000000"/>
            </w:tcBorders>
          </w:tcPr>
          <w:p>
            <w:pPr>
              <w:pStyle w:val="TableParagraph"/>
              <w:spacing w:before="10"/>
              <w:rPr>
                <w:b/>
                <w:i/>
                <w:sz w:val="23"/>
              </w:rPr>
            </w:pPr>
          </w:p>
          <w:p>
            <w:pPr>
              <w:pStyle w:val="TableParagraph"/>
              <w:spacing w:before="1"/>
              <w:ind w:left="275" w:right="247"/>
              <w:jc w:val="center"/>
              <w:rPr>
                <w:sz w:val="20"/>
              </w:rPr>
            </w:pPr>
            <w:r>
              <w:rPr>
                <w:spacing w:val="-5"/>
                <w:sz w:val="20"/>
              </w:rPr>
              <w:t>1.2</w:t>
            </w:r>
          </w:p>
        </w:tc>
        <w:tc>
          <w:tcPr>
            <w:tcW w:w="4878" w:type="dxa"/>
            <w:tcBorders>
              <w:top w:val="single" w:sz="4" w:space="0" w:color="000000"/>
              <w:left w:val="single" w:sz="4" w:space="0" w:color="000000"/>
              <w:bottom w:val="single" w:sz="4" w:space="0" w:color="000000"/>
              <w:right w:val="single" w:sz="4" w:space="0" w:color="000000"/>
            </w:tcBorders>
          </w:tcPr>
          <w:p>
            <w:pPr>
              <w:pStyle w:val="TableParagraph"/>
              <w:spacing w:line="256" w:lineRule="auto" w:before="71"/>
              <w:ind w:left="151" w:right="105"/>
              <w:rPr>
                <w:sz w:val="20"/>
              </w:rPr>
            </w:pPr>
            <w:r>
              <w:rPr>
                <w:sz w:val="20"/>
              </w:rPr>
              <w:t>Los</w:t>
            </w:r>
            <w:r>
              <w:rPr>
                <w:spacing w:val="-10"/>
                <w:sz w:val="20"/>
              </w:rPr>
              <w:t> </w:t>
            </w:r>
            <w:r>
              <w:rPr>
                <w:sz w:val="20"/>
              </w:rPr>
              <w:t>partidos</w:t>
            </w:r>
            <w:r>
              <w:rPr>
                <w:spacing w:val="-6"/>
                <w:sz w:val="20"/>
              </w:rPr>
              <w:t> </w:t>
            </w:r>
            <w:r>
              <w:rPr>
                <w:sz w:val="20"/>
              </w:rPr>
              <w:t>políticos</w:t>
            </w:r>
            <w:r>
              <w:rPr>
                <w:spacing w:val="-10"/>
                <w:sz w:val="20"/>
              </w:rPr>
              <w:t> </w:t>
            </w:r>
            <w:r>
              <w:rPr>
                <w:sz w:val="20"/>
              </w:rPr>
              <w:t>son</w:t>
            </w:r>
            <w:r>
              <w:rPr>
                <w:spacing w:val="-9"/>
                <w:sz w:val="20"/>
              </w:rPr>
              <w:t> </w:t>
            </w:r>
            <w:r>
              <w:rPr>
                <w:sz w:val="20"/>
              </w:rPr>
              <w:t>inclusivos</w:t>
            </w:r>
            <w:r>
              <w:rPr>
                <w:spacing w:val="-10"/>
                <w:sz w:val="20"/>
              </w:rPr>
              <w:t> </w:t>
            </w:r>
            <w:r>
              <w:rPr>
                <w:sz w:val="20"/>
              </w:rPr>
              <w:t>y </w:t>
            </w:r>
            <w:r>
              <w:rPr>
                <w:spacing w:val="-2"/>
                <w:sz w:val="20"/>
              </w:rPr>
              <w:t>comprometidos</w:t>
            </w:r>
          </w:p>
        </w:tc>
        <w:tc>
          <w:tcPr>
            <w:tcW w:w="1416" w:type="dxa"/>
            <w:tcBorders>
              <w:top w:val="single" w:sz="4" w:space="0" w:color="000000"/>
              <w:left w:val="single" w:sz="4" w:space="0" w:color="000000"/>
              <w:bottom w:val="single" w:sz="4" w:space="0" w:color="000000"/>
            </w:tcBorders>
          </w:tcPr>
          <w:p>
            <w:pPr>
              <w:pStyle w:val="TableParagraph"/>
              <w:rPr>
                <w:rFonts w:ascii="Times New Roman"/>
                <w:sz w:val="18"/>
              </w:rPr>
            </w:pPr>
          </w:p>
        </w:tc>
      </w:tr>
      <w:tr>
        <w:trPr>
          <w:trHeight w:val="568" w:hRule="atLeast"/>
        </w:trPr>
        <w:tc>
          <w:tcPr>
            <w:tcW w:w="847" w:type="dxa"/>
            <w:tcBorders>
              <w:top w:val="single" w:sz="4" w:space="0" w:color="000000"/>
              <w:right w:val="single" w:sz="4" w:space="0" w:color="000000"/>
            </w:tcBorders>
          </w:tcPr>
          <w:p>
            <w:pPr>
              <w:pStyle w:val="TableParagraph"/>
              <w:spacing w:before="71"/>
              <w:ind w:left="275" w:right="247"/>
              <w:jc w:val="center"/>
              <w:rPr>
                <w:sz w:val="20"/>
              </w:rPr>
            </w:pPr>
            <w:r>
              <w:rPr>
                <w:spacing w:val="-5"/>
                <w:sz w:val="20"/>
              </w:rPr>
              <w:t>1.3</w:t>
            </w:r>
          </w:p>
        </w:tc>
        <w:tc>
          <w:tcPr>
            <w:tcW w:w="4878" w:type="dxa"/>
            <w:tcBorders>
              <w:top w:val="single" w:sz="4" w:space="0" w:color="000000"/>
              <w:left w:val="single" w:sz="4" w:space="0" w:color="000000"/>
              <w:right w:val="single" w:sz="4" w:space="0" w:color="000000"/>
            </w:tcBorders>
          </w:tcPr>
          <w:p>
            <w:pPr>
              <w:pStyle w:val="TableParagraph"/>
              <w:spacing w:line="250" w:lineRule="atLeast" w:before="48"/>
              <w:ind w:left="151" w:right="105"/>
              <w:rPr>
                <w:sz w:val="20"/>
              </w:rPr>
            </w:pPr>
            <w:r>
              <w:rPr>
                <w:sz w:val="20"/>
              </w:rPr>
              <w:t>Los</w:t>
            </w:r>
            <w:r>
              <w:rPr>
                <w:spacing w:val="-12"/>
                <w:sz w:val="20"/>
              </w:rPr>
              <w:t> </w:t>
            </w:r>
            <w:r>
              <w:rPr>
                <w:sz w:val="20"/>
              </w:rPr>
              <w:t>partidos</w:t>
            </w:r>
            <w:r>
              <w:rPr>
                <w:spacing w:val="-10"/>
                <w:sz w:val="20"/>
              </w:rPr>
              <w:t> </w:t>
            </w:r>
            <w:r>
              <w:rPr>
                <w:sz w:val="20"/>
              </w:rPr>
              <w:t>políticos</w:t>
            </w:r>
            <w:r>
              <w:rPr>
                <w:spacing w:val="-12"/>
                <w:sz w:val="20"/>
              </w:rPr>
              <w:t> </w:t>
            </w:r>
            <w:r>
              <w:rPr>
                <w:sz w:val="20"/>
              </w:rPr>
              <w:t>son</w:t>
            </w:r>
            <w:r>
              <w:rPr>
                <w:spacing w:val="-11"/>
                <w:sz w:val="20"/>
              </w:rPr>
              <w:t> </w:t>
            </w:r>
            <w:r>
              <w:rPr>
                <w:sz w:val="20"/>
              </w:rPr>
              <w:t>organizaciones </w:t>
            </w:r>
            <w:r>
              <w:rPr>
                <w:spacing w:val="-2"/>
                <w:sz w:val="20"/>
              </w:rPr>
              <w:t>democráticas</w:t>
            </w:r>
          </w:p>
        </w:tc>
        <w:tc>
          <w:tcPr>
            <w:tcW w:w="1416" w:type="dxa"/>
            <w:tcBorders>
              <w:top w:val="single" w:sz="4" w:space="0" w:color="000000"/>
              <w:left w:val="single" w:sz="4" w:space="0" w:color="000000"/>
            </w:tcBorders>
          </w:tcPr>
          <w:p>
            <w:pPr>
              <w:pStyle w:val="TableParagraph"/>
              <w:rPr>
                <w:rFonts w:ascii="Times New Roman"/>
                <w:sz w:val="18"/>
              </w:rPr>
            </w:pPr>
          </w:p>
        </w:tc>
      </w:tr>
      <w:tr>
        <w:trPr>
          <w:trHeight w:val="750" w:hRule="atLeast"/>
        </w:trPr>
        <w:tc>
          <w:tcPr>
            <w:tcW w:w="847" w:type="dxa"/>
            <w:tcBorders>
              <w:right w:val="single" w:sz="4" w:space="0" w:color="000000"/>
            </w:tcBorders>
          </w:tcPr>
          <w:p>
            <w:pPr>
              <w:pStyle w:val="TableParagraph"/>
              <w:spacing w:before="11"/>
              <w:rPr>
                <w:b/>
                <w:i/>
                <w:sz w:val="24"/>
              </w:rPr>
            </w:pPr>
          </w:p>
          <w:p>
            <w:pPr>
              <w:pStyle w:val="TableParagraph"/>
              <w:ind w:left="275" w:right="247"/>
              <w:jc w:val="center"/>
              <w:rPr>
                <w:sz w:val="20"/>
              </w:rPr>
            </w:pPr>
            <w:r>
              <w:rPr>
                <w:spacing w:val="-5"/>
                <w:sz w:val="20"/>
              </w:rPr>
              <w:t>1.4</w:t>
            </w:r>
          </w:p>
        </w:tc>
        <w:tc>
          <w:tcPr>
            <w:tcW w:w="4878" w:type="dxa"/>
            <w:tcBorders>
              <w:left w:val="single" w:sz="4" w:space="0" w:color="000000"/>
              <w:right w:val="single" w:sz="4" w:space="0" w:color="000000"/>
            </w:tcBorders>
          </w:tcPr>
          <w:p>
            <w:pPr>
              <w:pStyle w:val="TableParagraph"/>
              <w:spacing w:line="256" w:lineRule="auto" w:before="73"/>
              <w:ind w:left="151"/>
              <w:rPr>
                <w:sz w:val="20"/>
              </w:rPr>
            </w:pPr>
            <w:r>
              <w:rPr>
                <w:sz w:val="20"/>
              </w:rPr>
              <w:t>Los partidos políticos participan en la cooperación y el diálogo entre partidos</w:t>
            </w:r>
          </w:p>
        </w:tc>
        <w:tc>
          <w:tcPr>
            <w:tcW w:w="1416" w:type="dxa"/>
            <w:tcBorders>
              <w:left w:val="single" w:sz="4" w:space="0" w:color="000000"/>
            </w:tcBorders>
          </w:tcPr>
          <w:p>
            <w:pPr>
              <w:pStyle w:val="TableParagraph"/>
              <w:rPr>
                <w:rFonts w:ascii="Times New Roman"/>
                <w:sz w:val="18"/>
              </w:rPr>
            </w:pPr>
          </w:p>
        </w:tc>
      </w:tr>
      <w:tr>
        <w:trPr>
          <w:trHeight w:val="491" w:hRule="atLeast"/>
        </w:trPr>
        <w:tc>
          <w:tcPr>
            <w:tcW w:w="847" w:type="dxa"/>
            <w:tcBorders>
              <w:right w:val="single" w:sz="4" w:space="0" w:color="000000"/>
            </w:tcBorders>
          </w:tcPr>
          <w:p>
            <w:pPr>
              <w:pStyle w:val="TableParagraph"/>
              <w:spacing w:before="74"/>
              <w:ind w:left="275" w:right="247"/>
              <w:jc w:val="center"/>
              <w:rPr>
                <w:sz w:val="20"/>
              </w:rPr>
            </w:pPr>
            <w:r>
              <w:rPr>
                <w:spacing w:val="-5"/>
                <w:sz w:val="20"/>
              </w:rPr>
              <w:t>1.5</w:t>
            </w:r>
          </w:p>
        </w:tc>
        <w:tc>
          <w:tcPr>
            <w:tcW w:w="4878" w:type="dxa"/>
            <w:tcBorders>
              <w:left w:val="single" w:sz="4" w:space="0" w:color="000000"/>
              <w:right w:val="single" w:sz="4" w:space="0" w:color="000000"/>
            </w:tcBorders>
          </w:tcPr>
          <w:p>
            <w:pPr>
              <w:pStyle w:val="TableParagraph"/>
              <w:spacing w:before="74"/>
              <w:ind w:left="151"/>
              <w:rPr>
                <w:sz w:val="20"/>
              </w:rPr>
            </w:pPr>
            <w:r>
              <w:rPr>
                <w:sz w:val="20"/>
              </w:rPr>
              <w:t>DIPD</w:t>
            </w:r>
            <w:r>
              <w:rPr>
                <w:spacing w:val="-5"/>
                <w:sz w:val="20"/>
              </w:rPr>
              <w:t> </w:t>
            </w:r>
            <w:r>
              <w:rPr>
                <w:sz w:val="20"/>
              </w:rPr>
              <w:t>aprende</w:t>
            </w:r>
            <w:r>
              <w:rPr>
                <w:spacing w:val="-6"/>
                <w:sz w:val="20"/>
              </w:rPr>
              <w:t> </w:t>
            </w:r>
            <w:r>
              <w:rPr>
                <w:sz w:val="20"/>
              </w:rPr>
              <w:t>de</w:t>
            </w:r>
            <w:r>
              <w:rPr>
                <w:spacing w:val="-5"/>
                <w:sz w:val="20"/>
              </w:rPr>
              <w:t> </w:t>
            </w:r>
            <w:r>
              <w:rPr>
                <w:sz w:val="20"/>
              </w:rPr>
              <w:t>los</w:t>
            </w:r>
            <w:r>
              <w:rPr>
                <w:spacing w:val="-6"/>
                <w:sz w:val="20"/>
              </w:rPr>
              <w:t> </w:t>
            </w:r>
            <w:r>
              <w:rPr>
                <w:sz w:val="20"/>
              </w:rPr>
              <w:t>resultados</w:t>
            </w:r>
            <w:r>
              <w:rPr>
                <w:spacing w:val="-6"/>
                <w:sz w:val="20"/>
              </w:rPr>
              <w:t> </w:t>
            </w:r>
            <w:r>
              <w:rPr>
                <w:sz w:val="20"/>
              </w:rPr>
              <w:t>y</w:t>
            </w:r>
            <w:r>
              <w:rPr>
                <w:spacing w:val="-6"/>
                <w:sz w:val="20"/>
              </w:rPr>
              <w:t> </w:t>
            </w:r>
            <w:r>
              <w:rPr>
                <w:sz w:val="20"/>
              </w:rPr>
              <w:t>los</w:t>
            </w:r>
            <w:r>
              <w:rPr>
                <w:spacing w:val="-6"/>
                <w:sz w:val="20"/>
              </w:rPr>
              <w:t> </w:t>
            </w:r>
            <w:r>
              <w:rPr>
                <w:spacing w:val="-2"/>
                <w:sz w:val="20"/>
              </w:rPr>
              <w:t>documenta</w:t>
            </w:r>
          </w:p>
        </w:tc>
        <w:tc>
          <w:tcPr>
            <w:tcW w:w="1416" w:type="dxa"/>
            <w:tcBorders>
              <w:left w:val="single" w:sz="4" w:space="0" w:color="000000"/>
              <w:bottom w:val="nil"/>
            </w:tcBorders>
          </w:tcPr>
          <w:p>
            <w:pPr>
              <w:pStyle w:val="TableParagraph"/>
              <w:rPr>
                <w:rFonts w:ascii="Times New Roman"/>
                <w:sz w:val="18"/>
              </w:rPr>
            </w:pPr>
          </w:p>
        </w:tc>
      </w:tr>
      <w:tr>
        <w:trPr>
          <w:trHeight w:val="481" w:hRule="atLeast"/>
        </w:trPr>
        <w:tc>
          <w:tcPr>
            <w:tcW w:w="847" w:type="dxa"/>
            <w:shd w:val="clear" w:color="auto" w:fill="DDD9C3"/>
          </w:tcPr>
          <w:p>
            <w:pPr>
              <w:pStyle w:val="TableParagraph"/>
              <w:rPr>
                <w:rFonts w:ascii="Times New Roman"/>
                <w:sz w:val="18"/>
              </w:rPr>
            </w:pPr>
          </w:p>
        </w:tc>
        <w:tc>
          <w:tcPr>
            <w:tcW w:w="4878" w:type="dxa"/>
            <w:shd w:val="clear" w:color="auto" w:fill="DDD9C3"/>
          </w:tcPr>
          <w:p>
            <w:pPr>
              <w:pStyle w:val="TableParagraph"/>
              <w:spacing w:before="73"/>
              <w:ind w:left="141"/>
              <w:rPr>
                <w:b/>
                <w:sz w:val="20"/>
              </w:rPr>
            </w:pPr>
            <w:r>
              <w:rPr>
                <w:b/>
                <w:sz w:val="20"/>
              </w:rPr>
              <w:t>Coste</w:t>
            </w:r>
            <w:r>
              <w:rPr>
                <w:b/>
                <w:spacing w:val="-5"/>
                <w:sz w:val="20"/>
              </w:rPr>
              <w:t> </w:t>
            </w:r>
            <w:r>
              <w:rPr>
                <w:b/>
                <w:sz w:val="20"/>
              </w:rPr>
              <w:t>total</w:t>
            </w:r>
            <w:r>
              <w:rPr>
                <w:b/>
                <w:spacing w:val="-6"/>
                <w:sz w:val="20"/>
              </w:rPr>
              <w:t> </w:t>
            </w:r>
            <w:r>
              <w:rPr>
                <w:b/>
                <w:sz w:val="20"/>
              </w:rPr>
              <w:t>de</w:t>
            </w:r>
            <w:r>
              <w:rPr>
                <w:b/>
                <w:spacing w:val="-3"/>
                <w:sz w:val="20"/>
              </w:rPr>
              <w:t> </w:t>
            </w:r>
            <w:r>
              <w:rPr>
                <w:b/>
                <w:sz w:val="20"/>
              </w:rPr>
              <w:t>la</w:t>
            </w:r>
            <w:r>
              <w:rPr>
                <w:b/>
                <w:spacing w:val="-4"/>
                <w:sz w:val="20"/>
              </w:rPr>
              <w:t> </w:t>
            </w:r>
            <w:r>
              <w:rPr>
                <w:b/>
                <w:spacing w:val="-2"/>
                <w:sz w:val="20"/>
              </w:rPr>
              <w:t>Colaboración</w:t>
            </w:r>
          </w:p>
        </w:tc>
        <w:tc>
          <w:tcPr>
            <w:tcW w:w="1416" w:type="dxa"/>
            <w:tcBorders>
              <w:top w:val="nil"/>
            </w:tcBorders>
            <w:shd w:val="clear" w:color="auto" w:fill="DDD9C3"/>
          </w:tcPr>
          <w:p>
            <w:pPr>
              <w:pStyle w:val="TableParagraph"/>
              <w:rPr>
                <w:rFonts w:ascii="Times New Roman"/>
                <w:sz w:val="18"/>
              </w:rPr>
            </w:pPr>
          </w:p>
        </w:tc>
      </w:tr>
    </w:tbl>
    <w:p>
      <w:pPr>
        <w:pStyle w:val="BodyText"/>
        <w:rPr>
          <w:b/>
          <w:i/>
          <w:sz w:val="22"/>
        </w:rPr>
      </w:pPr>
    </w:p>
    <w:p>
      <w:pPr>
        <w:pStyle w:val="BodyText"/>
        <w:spacing w:before="5"/>
        <w:rPr>
          <w:b/>
          <w:i/>
          <w:sz w:val="32"/>
        </w:rPr>
      </w:pPr>
    </w:p>
    <w:p>
      <w:pPr>
        <w:pStyle w:val="Heading3"/>
        <w:numPr>
          <w:ilvl w:val="2"/>
          <w:numId w:val="4"/>
        </w:numPr>
        <w:tabs>
          <w:tab w:pos="604" w:val="left" w:leader="none"/>
        </w:tabs>
        <w:spacing w:line="240" w:lineRule="auto" w:before="0" w:after="0"/>
        <w:ind w:left="603" w:right="0" w:hanging="502"/>
        <w:jc w:val="left"/>
      </w:pPr>
      <w:bookmarkStart w:name="_TOC_250018" w:id="15"/>
      <w:r>
        <w:rPr>
          <w:color w:val="FF0000"/>
        </w:rPr>
        <w:t>GASTOS</w:t>
      </w:r>
      <w:r>
        <w:rPr>
          <w:color w:val="FF0000"/>
          <w:spacing w:val="-4"/>
        </w:rPr>
        <w:t> </w:t>
      </w:r>
      <w:r>
        <w:rPr>
          <w:color w:val="FF0000"/>
        </w:rPr>
        <w:t>Y</w:t>
      </w:r>
      <w:r>
        <w:rPr>
          <w:color w:val="FF0000"/>
          <w:spacing w:val="-3"/>
        </w:rPr>
        <w:t> </w:t>
      </w:r>
      <w:r>
        <w:rPr>
          <w:color w:val="FF0000"/>
        </w:rPr>
        <w:t>LÍNEAS</w:t>
      </w:r>
      <w:r>
        <w:rPr>
          <w:color w:val="FF0000"/>
          <w:spacing w:val="-6"/>
        </w:rPr>
        <w:t> </w:t>
      </w:r>
      <w:r>
        <w:rPr>
          <w:color w:val="FF0000"/>
        </w:rPr>
        <w:t>DE</w:t>
      </w:r>
      <w:r>
        <w:rPr>
          <w:color w:val="FF0000"/>
          <w:spacing w:val="-5"/>
        </w:rPr>
        <w:t> </w:t>
      </w:r>
      <w:bookmarkEnd w:id="15"/>
      <w:r>
        <w:rPr>
          <w:color w:val="FF0000"/>
          <w:spacing w:val="-2"/>
        </w:rPr>
        <w:t>PRESUPUESTOS</w:t>
      </w:r>
    </w:p>
    <w:p>
      <w:pPr>
        <w:pStyle w:val="BodyText"/>
        <w:spacing w:before="7"/>
        <w:rPr>
          <w:sz w:val="24"/>
        </w:rPr>
      </w:pPr>
    </w:p>
    <w:p>
      <w:pPr>
        <w:pStyle w:val="BodyText"/>
        <w:spacing w:line="268" w:lineRule="auto" w:before="1"/>
        <w:ind w:left="963" w:right="866" w:hanging="10"/>
        <w:jc w:val="both"/>
      </w:pPr>
      <w:r>
        <w:rPr/>
        <w:t>A</w:t>
      </w:r>
      <w:r>
        <w:rPr>
          <w:spacing w:val="-5"/>
        </w:rPr>
        <w:t> </w:t>
      </w:r>
      <w:r>
        <w:rPr/>
        <w:t>continuación,</w:t>
      </w:r>
      <w:r>
        <w:rPr>
          <w:spacing w:val="-2"/>
        </w:rPr>
        <w:t> </w:t>
      </w:r>
      <w:r>
        <w:rPr/>
        <w:t>se</w:t>
      </w:r>
      <w:r>
        <w:rPr>
          <w:spacing w:val="-4"/>
        </w:rPr>
        <w:t> </w:t>
      </w:r>
      <w:r>
        <w:rPr/>
        <w:t>muestra</w:t>
      </w:r>
      <w:r>
        <w:rPr>
          <w:spacing w:val="-2"/>
        </w:rPr>
        <w:t> </w:t>
      </w:r>
      <w:r>
        <w:rPr/>
        <w:t>una</w:t>
      </w:r>
      <w:r>
        <w:rPr>
          <w:spacing w:val="-2"/>
        </w:rPr>
        <w:t> </w:t>
      </w:r>
      <w:r>
        <w:rPr/>
        <w:t>descripción</w:t>
      </w:r>
      <w:r>
        <w:rPr>
          <w:spacing w:val="-2"/>
        </w:rPr>
        <w:t> </w:t>
      </w:r>
      <w:r>
        <w:rPr/>
        <w:t>detallada</w:t>
      </w:r>
      <w:r>
        <w:rPr>
          <w:spacing w:val="-3"/>
        </w:rPr>
        <w:t> </w:t>
      </w:r>
      <w:r>
        <w:rPr/>
        <w:t>de</w:t>
      </w:r>
      <w:r>
        <w:rPr>
          <w:spacing w:val="-3"/>
        </w:rPr>
        <w:t> </w:t>
      </w:r>
      <w:r>
        <w:rPr/>
        <w:t>los</w:t>
      </w:r>
      <w:r>
        <w:rPr>
          <w:spacing w:val="-3"/>
        </w:rPr>
        <w:t> </w:t>
      </w:r>
      <w:r>
        <w:rPr/>
        <w:t>tipos</w:t>
      </w:r>
      <w:r>
        <w:rPr>
          <w:spacing w:val="-2"/>
        </w:rPr>
        <w:t> </w:t>
      </w:r>
      <w:r>
        <w:rPr/>
        <w:t>de</w:t>
      </w:r>
      <w:r>
        <w:rPr>
          <w:spacing w:val="-2"/>
        </w:rPr>
        <w:t> </w:t>
      </w:r>
      <w:r>
        <w:rPr/>
        <w:t>gastos</w:t>
      </w:r>
      <w:r>
        <w:rPr>
          <w:spacing w:val="-2"/>
        </w:rPr>
        <w:t> </w:t>
      </w:r>
      <w:r>
        <w:rPr/>
        <w:t>que</w:t>
      </w:r>
      <w:r>
        <w:rPr>
          <w:spacing w:val="-2"/>
        </w:rPr>
        <w:t> </w:t>
      </w:r>
      <w:r>
        <w:rPr/>
        <w:t>se pueden presupuestar en cada partida presupuestaria, cómo se gestionan y qué reglas generales se les aplican a los mismos.</w:t>
      </w:r>
    </w:p>
    <w:p>
      <w:pPr>
        <w:pStyle w:val="BodyText"/>
        <w:spacing w:line="268" w:lineRule="auto" w:before="129"/>
        <w:ind w:left="963" w:right="859" w:hanging="10"/>
        <w:jc w:val="both"/>
      </w:pPr>
      <w:r>
        <w:rPr/>
        <w:t>Según</w:t>
      </w:r>
      <w:r>
        <w:rPr>
          <w:spacing w:val="-14"/>
        </w:rPr>
        <w:t> </w:t>
      </w:r>
      <w:r>
        <w:rPr/>
        <w:t>lo</w:t>
      </w:r>
      <w:r>
        <w:rPr>
          <w:spacing w:val="-14"/>
        </w:rPr>
        <w:t> </w:t>
      </w:r>
      <w:r>
        <w:rPr/>
        <w:t>estipulado</w:t>
      </w:r>
      <w:r>
        <w:rPr>
          <w:spacing w:val="-14"/>
        </w:rPr>
        <w:t> </w:t>
      </w:r>
      <w:r>
        <w:rPr/>
        <w:t>en</w:t>
      </w:r>
      <w:r>
        <w:rPr>
          <w:spacing w:val="-14"/>
        </w:rPr>
        <w:t> </w:t>
      </w:r>
      <w:r>
        <w:rPr/>
        <w:t>la</w:t>
      </w:r>
      <w:r>
        <w:rPr>
          <w:spacing w:val="-14"/>
        </w:rPr>
        <w:t> </w:t>
      </w:r>
      <w:r>
        <w:rPr/>
        <w:t>ley</w:t>
      </w:r>
      <w:r>
        <w:rPr>
          <w:spacing w:val="-14"/>
        </w:rPr>
        <w:t> </w:t>
      </w:r>
      <w:r>
        <w:rPr/>
        <w:t>y</w:t>
      </w:r>
      <w:r>
        <w:rPr>
          <w:spacing w:val="-14"/>
        </w:rPr>
        <w:t> </w:t>
      </w:r>
      <w:r>
        <w:rPr/>
        <w:t>según</w:t>
      </w:r>
      <w:r>
        <w:rPr>
          <w:spacing w:val="-14"/>
        </w:rPr>
        <w:t> </w:t>
      </w:r>
      <w:r>
        <w:rPr/>
        <w:t>lo</w:t>
      </w:r>
      <w:r>
        <w:rPr>
          <w:spacing w:val="-14"/>
        </w:rPr>
        <w:t> </w:t>
      </w:r>
      <w:r>
        <w:rPr/>
        <w:t>decidido</w:t>
      </w:r>
      <w:r>
        <w:rPr>
          <w:spacing w:val="-13"/>
        </w:rPr>
        <w:t> </w:t>
      </w:r>
      <w:r>
        <w:rPr/>
        <w:t>por</w:t>
      </w:r>
      <w:r>
        <w:rPr>
          <w:spacing w:val="-14"/>
        </w:rPr>
        <w:t> </w:t>
      </w:r>
      <w:r>
        <w:rPr/>
        <w:t>la</w:t>
      </w:r>
      <w:r>
        <w:rPr>
          <w:spacing w:val="-14"/>
        </w:rPr>
        <w:t> </w:t>
      </w:r>
      <w:r>
        <w:rPr/>
        <w:t>Ejecutiva</w:t>
      </w:r>
      <w:r>
        <w:rPr>
          <w:spacing w:val="-14"/>
        </w:rPr>
        <w:t> </w:t>
      </w:r>
      <w:r>
        <w:rPr/>
        <w:t>de</w:t>
      </w:r>
      <w:r>
        <w:rPr>
          <w:spacing w:val="-14"/>
        </w:rPr>
        <w:t> </w:t>
      </w:r>
      <w:r>
        <w:rPr/>
        <w:t>DIPD,</w:t>
      </w:r>
      <w:r>
        <w:rPr>
          <w:spacing w:val="-14"/>
        </w:rPr>
        <w:t> </w:t>
      </w:r>
      <w:r>
        <w:rPr/>
        <w:t>un</w:t>
      </w:r>
      <w:r>
        <w:rPr>
          <w:spacing w:val="-14"/>
        </w:rPr>
        <w:t> </w:t>
      </w:r>
      <w:r>
        <w:rPr/>
        <w:t>mínimo del 50% de la subvención total de DIPD para el período de la estrategia debe gastarse en asociaciones multipartitas.</w:t>
      </w:r>
    </w:p>
    <w:p>
      <w:pPr>
        <w:pStyle w:val="BodyText"/>
        <w:spacing w:line="268" w:lineRule="auto" w:before="130"/>
        <w:ind w:left="978" w:right="862" w:hanging="10"/>
        <w:jc w:val="both"/>
      </w:pPr>
      <w:r>
        <w:rPr/>
        <w:t>La Ejecutiva de DIPD, la Secretaría de DIPD y los partidos políticos comparten la </w:t>
      </w:r>
      <w:r>
        <w:rPr>
          <w:spacing w:val="-2"/>
        </w:rPr>
        <w:t>responsabilidad</w:t>
      </w:r>
      <w:r>
        <w:rPr>
          <w:spacing w:val="-5"/>
        </w:rPr>
        <w:t> </w:t>
      </w:r>
      <w:r>
        <w:rPr>
          <w:spacing w:val="-2"/>
        </w:rPr>
        <w:t>de</w:t>
      </w:r>
      <w:r>
        <w:rPr>
          <w:spacing w:val="-6"/>
        </w:rPr>
        <w:t> </w:t>
      </w:r>
      <w:r>
        <w:rPr>
          <w:spacing w:val="-2"/>
        </w:rPr>
        <w:t>asegurar</w:t>
      </w:r>
      <w:r>
        <w:rPr>
          <w:spacing w:val="-7"/>
        </w:rPr>
        <w:t> </w:t>
      </w:r>
      <w:r>
        <w:rPr>
          <w:spacing w:val="-2"/>
        </w:rPr>
        <w:t>que</w:t>
      </w:r>
      <w:r>
        <w:rPr>
          <w:spacing w:val="-5"/>
        </w:rPr>
        <w:t> </w:t>
      </w:r>
      <w:r>
        <w:rPr>
          <w:spacing w:val="-2"/>
        </w:rPr>
        <w:t>se</w:t>
      </w:r>
      <w:r>
        <w:rPr>
          <w:spacing w:val="-8"/>
        </w:rPr>
        <w:t> </w:t>
      </w:r>
      <w:r>
        <w:rPr>
          <w:spacing w:val="-2"/>
        </w:rPr>
        <w:t>cumple</w:t>
      </w:r>
      <w:r>
        <w:rPr>
          <w:spacing w:val="-5"/>
        </w:rPr>
        <w:t> </w:t>
      </w:r>
      <w:r>
        <w:rPr>
          <w:spacing w:val="-2"/>
        </w:rPr>
        <w:t>con</w:t>
      </w:r>
      <w:r>
        <w:rPr>
          <w:spacing w:val="-6"/>
        </w:rPr>
        <w:t> </w:t>
      </w:r>
      <w:r>
        <w:rPr>
          <w:spacing w:val="-2"/>
        </w:rPr>
        <w:t>esta</w:t>
      </w:r>
      <w:r>
        <w:rPr>
          <w:spacing w:val="-6"/>
        </w:rPr>
        <w:t> </w:t>
      </w:r>
      <w:r>
        <w:rPr>
          <w:spacing w:val="-2"/>
        </w:rPr>
        <w:t>obligación.</w:t>
      </w:r>
      <w:r>
        <w:rPr>
          <w:spacing w:val="-5"/>
        </w:rPr>
        <w:t> </w:t>
      </w:r>
      <w:r>
        <w:rPr>
          <w:spacing w:val="-2"/>
        </w:rPr>
        <w:t>A</w:t>
      </w:r>
      <w:r>
        <w:rPr>
          <w:spacing w:val="-6"/>
        </w:rPr>
        <w:t> </w:t>
      </w:r>
      <w:r>
        <w:rPr>
          <w:spacing w:val="-2"/>
        </w:rPr>
        <w:t>medida</w:t>
      </w:r>
      <w:r>
        <w:rPr>
          <w:spacing w:val="-5"/>
        </w:rPr>
        <w:t> </w:t>
      </w:r>
      <w:r>
        <w:rPr>
          <w:spacing w:val="-2"/>
        </w:rPr>
        <w:t>que</w:t>
      </w:r>
      <w:r>
        <w:rPr>
          <w:spacing w:val="-5"/>
        </w:rPr>
        <w:t> </w:t>
      </w:r>
      <w:r>
        <w:rPr>
          <w:spacing w:val="-2"/>
        </w:rPr>
        <w:t>DIPD </w:t>
      </w:r>
      <w:r>
        <w:rPr/>
        <w:t>vaya avanzando con la transición a un nuevo sistema de subvenciones, la responsabilidad de los partidos políticos de financiar las asociaciones multipartidistas</w:t>
      </w:r>
      <w:r>
        <w:rPr>
          <w:spacing w:val="-14"/>
        </w:rPr>
        <w:t> </w:t>
      </w:r>
      <w:r>
        <w:rPr/>
        <w:t>aumenta</w:t>
      </w:r>
      <w:r>
        <w:rPr>
          <w:spacing w:val="-13"/>
        </w:rPr>
        <w:t> </w:t>
      </w:r>
      <w:r>
        <w:rPr/>
        <w:t>gradualmente.</w:t>
      </w:r>
      <w:r>
        <w:rPr>
          <w:spacing w:val="-14"/>
        </w:rPr>
        <w:t> </w:t>
      </w:r>
      <w:r>
        <w:rPr/>
        <w:t>Como</w:t>
      </w:r>
      <w:r>
        <w:rPr>
          <w:spacing w:val="-13"/>
        </w:rPr>
        <w:t> </w:t>
      </w:r>
      <w:r>
        <w:rPr/>
        <w:t>ha</w:t>
      </w:r>
      <w:r>
        <w:rPr>
          <w:spacing w:val="-14"/>
        </w:rPr>
        <w:t> </w:t>
      </w:r>
      <w:r>
        <w:rPr/>
        <w:t>sido</w:t>
      </w:r>
      <w:r>
        <w:rPr>
          <w:spacing w:val="-13"/>
        </w:rPr>
        <w:t> </w:t>
      </w:r>
      <w:r>
        <w:rPr/>
        <w:t>estipulado</w:t>
      </w:r>
      <w:r>
        <w:rPr>
          <w:spacing w:val="-13"/>
        </w:rPr>
        <w:t> </w:t>
      </w:r>
      <w:r>
        <w:rPr/>
        <w:t>por</w:t>
      </w:r>
      <w:r>
        <w:rPr>
          <w:spacing w:val="-14"/>
        </w:rPr>
        <w:t> </w:t>
      </w:r>
      <w:r>
        <w:rPr/>
        <w:t>la</w:t>
      </w:r>
      <w:r>
        <w:rPr>
          <w:spacing w:val="-14"/>
        </w:rPr>
        <w:t> </w:t>
      </w:r>
      <w:r>
        <w:rPr/>
        <w:t>Ejecutiva</w:t>
      </w:r>
      <w:r>
        <w:rPr>
          <w:spacing w:val="-13"/>
        </w:rPr>
        <w:t> </w:t>
      </w:r>
      <w:r>
        <w:rPr/>
        <w:t>de DIPD, en 2021, 2022 y 2023-2025, respectivamente, todos los partidos políticos deben gastar los siguientes porcentajes en asociaciones multipartidistas:</w:t>
      </w:r>
    </w:p>
    <w:p>
      <w:pPr>
        <w:pStyle w:val="BodyText"/>
      </w:pPr>
    </w:p>
    <w:p>
      <w:pPr>
        <w:pStyle w:val="BodyText"/>
        <w:spacing w:before="3"/>
        <w:rPr>
          <w:sz w:val="14"/>
        </w:rPr>
      </w:pPr>
    </w:p>
    <w:tbl>
      <w:tblPr>
        <w:tblW w:w="0" w:type="auto"/>
        <w:jc w:val="left"/>
        <w:tblInd w:w="9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549"/>
        <w:gridCol w:w="1560"/>
        <w:gridCol w:w="1418"/>
        <w:gridCol w:w="1558"/>
      </w:tblGrid>
      <w:tr>
        <w:trPr>
          <w:trHeight w:val="465" w:hRule="atLeast"/>
        </w:trPr>
        <w:tc>
          <w:tcPr>
            <w:tcW w:w="2549" w:type="dxa"/>
          </w:tcPr>
          <w:p>
            <w:pPr>
              <w:pStyle w:val="TableParagraph"/>
              <w:rPr>
                <w:rFonts w:ascii="Times New Roman"/>
                <w:sz w:val="18"/>
              </w:rPr>
            </w:pPr>
          </w:p>
        </w:tc>
        <w:tc>
          <w:tcPr>
            <w:tcW w:w="1560" w:type="dxa"/>
          </w:tcPr>
          <w:p>
            <w:pPr>
              <w:pStyle w:val="TableParagraph"/>
              <w:spacing w:before="72"/>
              <w:ind w:left="108"/>
              <w:rPr>
                <w:sz w:val="20"/>
              </w:rPr>
            </w:pPr>
            <w:r>
              <w:rPr>
                <w:spacing w:val="-4"/>
                <w:sz w:val="20"/>
              </w:rPr>
              <w:t>2021</w:t>
            </w:r>
          </w:p>
        </w:tc>
        <w:tc>
          <w:tcPr>
            <w:tcW w:w="1418" w:type="dxa"/>
          </w:tcPr>
          <w:p>
            <w:pPr>
              <w:pStyle w:val="TableParagraph"/>
              <w:spacing w:before="72"/>
              <w:ind w:left="108"/>
              <w:rPr>
                <w:sz w:val="20"/>
              </w:rPr>
            </w:pPr>
            <w:r>
              <w:rPr>
                <w:spacing w:val="-4"/>
                <w:sz w:val="20"/>
              </w:rPr>
              <w:t>2022</w:t>
            </w:r>
          </w:p>
        </w:tc>
        <w:tc>
          <w:tcPr>
            <w:tcW w:w="1558" w:type="dxa"/>
          </w:tcPr>
          <w:p>
            <w:pPr>
              <w:pStyle w:val="TableParagraph"/>
              <w:spacing w:before="72"/>
              <w:ind w:left="108"/>
              <w:rPr>
                <w:sz w:val="20"/>
              </w:rPr>
            </w:pPr>
            <w:r>
              <w:rPr>
                <w:w w:val="95"/>
                <w:sz w:val="20"/>
              </w:rPr>
              <w:t>2023-</w:t>
            </w:r>
            <w:r>
              <w:rPr>
                <w:spacing w:val="-4"/>
                <w:sz w:val="20"/>
              </w:rPr>
              <w:t>2025</w:t>
            </w:r>
          </w:p>
        </w:tc>
      </w:tr>
      <w:tr>
        <w:trPr>
          <w:trHeight w:val="995" w:hRule="atLeast"/>
        </w:trPr>
        <w:tc>
          <w:tcPr>
            <w:tcW w:w="2549" w:type="dxa"/>
          </w:tcPr>
          <w:p>
            <w:pPr>
              <w:pStyle w:val="TableParagraph"/>
              <w:spacing w:line="259" w:lineRule="auto" w:before="71"/>
              <w:ind w:left="107" w:right="101"/>
              <w:jc w:val="both"/>
              <w:rPr>
                <w:sz w:val="20"/>
              </w:rPr>
            </w:pPr>
            <w:r>
              <w:rPr>
                <w:sz w:val="20"/>
              </w:rPr>
              <w:t>Fondos</w:t>
            </w:r>
            <w:r>
              <w:rPr>
                <w:spacing w:val="-14"/>
                <w:sz w:val="20"/>
              </w:rPr>
              <w:t> </w:t>
            </w:r>
            <w:r>
              <w:rPr>
                <w:sz w:val="20"/>
              </w:rPr>
              <w:t>de</w:t>
            </w:r>
            <w:r>
              <w:rPr>
                <w:spacing w:val="-14"/>
                <w:sz w:val="20"/>
              </w:rPr>
              <w:t> </w:t>
            </w:r>
            <w:r>
              <w:rPr>
                <w:sz w:val="20"/>
              </w:rPr>
              <w:t>asociación</w:t>
            </w:r>
            <w:r>
              <w:rPr>
                <w:spacing w:val="-14"/>
                <w:sz w:val="20"/>
              </w:rPr>
              <w:t> </w:t>
            </w:r>
            <w:r>
              <w:rPr>
                <w:sz w:val="20"/>
              </w:rPr>
              <w:t>–</w:t>
            </w:r>
            <w:r>
              <w:rPr>
                <w:spacing w:val="-14"/>
                <w:sz w:val="20"/>
              </w:rPr>
              <w:t> </w:t>
            </w:r>
            <w:r>
              <w:rPr>
                <w:sz w:val="20"/>
              </w:rPr>
              <w:t>% de fondos para asociaciones multipartitas</w:t>
            </w:r>
          </w:p>
        </w:tc>
        <w:tc>
          <w:tcPr>
            <w:tcW w:w="1560" w:type="dxa"/>
          </w:tcPr>
          <w:p>
            <w:pPr>
              <w:pStyle w:val="TableParagraph"/>
              <w:spacing w:before="71"/>
              <w:ind w:left="108"/>
              <w:rPr>
                <w:sz w:val="20"/>
              </w:rPr>
            </w:pPr>
            <w:r>
              <w:rPr>
                <w:sz w:val="20"/>
              </w:rPr>
              <w:t>20</w:t>
            </w:r>
            <w:r>
              <w:rPr>
                <w:spacing w:val="-4"/>
                <w:sz w:val="20"/>
              </w:rPr>
              <w:t> </w:t>
            </w:r>
            <w:r>
              <w:rPr>
                <w:spacing w:val="-10"/>
                <w:sz w:val="20"/>
              </w:rPr>
              <w:t>%</w:t>
            </w:r>
          </w:p>
        </w:tc>
        <w:tc>
          <w:tcPr>
            <w:tcW w:w="1418" w:type="dxa"/>
          </w:tcPr>
          <w:p>
            <w:pPr>
              <w:pStyle w:val="TableParagraph"/>
              <w:spacing w:before="71"/>
              <w:ind w:left="108"/>
              <w:rPr>
                <w:sz w:val="20"/>
              </w:rPr>
            </w:pPr>
            <w:r>
              <w:rPr>
                <w:sz w:val="20"/>
              </w:rPr>
              <w:t>35</w:t>
            </w:r>
            <w:r>
              <w:rPr>
                <w:spacing w:val="-4"/>
                <w:sz w:val="20"/>
              </w:rPr>
              <w:t> </w:t>
            </w:r>
            <w:r>
              <w:rPr>
                <w:spacing w:val="-10"/>
                <w:sz w:val="20"/>
              </w:rPr>
              <w:t>%</w:t>
            </w:r>
          </w:p>
        </w:tc>
        <w:tc>
          <w:tcPr>
            <w:tcW w:w="1558" w:type="dxa"/>
          </w:tcPr>
          <w:p>
            <w:pPr>
              <w:pStyle w:val="TableParagraph"/>
              <w:spacing w:before="71"/>
              <w:ind w:left="108"/>
              <w:rPr>
                <w:sz w:val="20"/>
              </w:rPr>
            </w:pPr>
            <w:r>
              <w:rPr>
                <w:sz w:val="20"/>
              </w:rPr>
              <w:t>50</w:t>
            </w:r>
            <w:r>
              <w:rPr>
                <w:spacing w:val="-4"/>
                <w:sz w:val="20"/>
              </w:rPr>
              <w:t> </w:t>
            </w:r>
            <w:r>
              <w:rPr>
                <w:spacing w:val="-10"/>
                <w:sz w:val="20"/>
              </w:rPr>
              <w:t>%</w:t>
            </w:r>
          </w:p>
        </w:tc>
      </w:tr>
    </w:tbl>
    <w:p>
      <w:pPr>
        <w:pStyle w:val="BodyText"/>
        <w:spacing w:before="8"/>
        <w:rPr>
          <w:sz w:val="15"/>
        </w:rPr>
      </w:pPr>
    </w:p>
    <w:p>
      <w:pPr>
        <w:pStyle w:val="BodyText"/>
        <w:spacing w:line="268" w:lineRule="auto" w:before="93"/>
        <w:ind w:left="963" w:right="860" w:hanging="10"/>
        <w:jc w:val="both"/>
      </w:pPr>
      <w:r>
        <w:rPr/>
        <w:t>Sin</w:t>
      </w:r>
      <w:r>
        <w:rPr>
          <w:spacing w:val="-5"/>
        </w:rPr>
        <w:t> </w:t>
      </w:r>
      <w:r>
        <w:rPr/>
        <w:t>embargo,</w:t>
      </w:r>
      <w:r>
        <w:rPr>
          <w:spacing w:val="-5"/>
        </w:rPr>
        <w:t> </w:t>
      </w:r>
      <w:r>
        <w:rPr/>
        <w:t>en</w:t>
      </w:r>
      <w:r>
        <w:rPr>
          <w:spacing w:val="-5"/>
        </w:rPr>
        <w:t> </w:t>
      </w:r>
      <w:r>
        <w:rPr/>
        <w:t>mayo</w:t>
      </w:r>
      <w:r>
        <w:rPr>
          <w:spacing w:val="-5"/>
        </w:rPr>
        <w:t> </w:t>
      </w:r>
      <w:r>
        <w:rPr/>
        <w:t>de</w:t>
      </w:r>
      <w:r>
        <w:rPr>
          <w:spacing w:val="-3"/>
        </w:rPr>
        <w:t> </w:t>
      </w:r>
      <w:r>
        <w:rPr/>
        <w:t>2021</w:t>
      </w:r>
      <w:r>
        <w:rPr>
          <w:spacing w:val="-5"/>
        </w:rPr>
        <w:t> </w:t>
      </w:r>
      <w:r>
        <w:rPr/>
        <w:t>la</w:t>
      </w:r>
      <w:r>
        <w:rPr>
          <w:spacing w:val="-4"/>
        </w:rPr>
        <w:t> </w:t>
      </w:r>
      <w:r>
        <w:rPr/>
        <w:t>Ejecutiva</w:t>
      </w:r>
      <w:r>
        <w:rPr>
          <w:spacing w:val="-2"/>
        </w:rPr>
        <w:t> </w:t>
      </w:r>
      <w:r>
        <w:rPr/>
        <w:t>de</w:t>
      </w:r>
      <w:r>
        <w:rPr>
          <w:spacing w:val="-6"/>
        </w:rPr>
        <w:t> </w:t>
      </w:r>
      <w:r>
        <w:rPr/>
        <w:t>DIPD</w:t>
      </w:r>
      <w:r>
        <w:rPr>
          <w:spacing w:val="-5"/>
        </w:rPr>
        <w:t> </w:t>
      </w:r>
      <w:r>
        <w:rPr/>
        <w:t>sigue</w:t>
      </w:r>
      <w:r>
        <w:rPr>
          <w:spacing w:val="-5"/>
        </w:rPr>
        <w:t> </w:t>
      </w:r>
      <w:r>
        <w:rPr/>
        <w:t>definiendo</w:t>
      </w:r>
      <w:r>
        <w:rPr>
          <w:spacing w:val="-3"/>
        </w:rPr>
        <w:t> </w:t>
      </w:r>
      <w:r>
        <w:rPr/>
        <w:t>los</w:t>
      </w:r>
      <w:r>
        <w:rPr>
          <w:spacing w:val="-4"/>
        </w:rPr>
        <w:t> </w:t>
      </w:r>
      <w:r>
        <w:rPr/>
        <w:t>principios del future de las asociaciones multipartitas de DIPD. Se espera la conclusión de estos principios no más tarde de diciembre 2021. Todos los partidos políticos que comiencen</w:t>
      </w:r>
      <w:r>
        <w:rPr>
          <w:spacing w:val="-12"/>
        </w:rPr>
        <w:t> </w:t>
      </w:r>
      <w:r>
        <w:rPr/>
        <w:t>un</w:t>
      </w:r>
      <w:r>
        <w:rPr>
          <w:spacing w:val="-14"/>
        </w:rPr>
        <w:t> </w:t>
      </w:r>
      <w:r>
        <w:rPr/>
        <w:t>FA</w:t>
      </w:r>
      <w:r>
        <w:rPr>
          <w:spacing w:val="-14"/>
        </w:rPr>
        <w:t> </w:t>
      </w:r>
      <w:r>
        <w:rPr/>
        <w:t>(</w:t>
      </w:r>
      <w:r>
        <w:rPr>
          <w:i/>
        </w:rPr>
        <w:t>siglas</w:t>
      </w:r>
      <w:r>
        <w:rPr>
          <w:i/>
          <w:spacing w:val="-13"/>
        </w:rPr>
        <w:t> </w:t>
      </w:r>
      <w:r>
        <w:rPr>
          <w:i/>
        </w:rPr>
        <w:t>en</w:t>
      </w:r>
      <w:r>
        <w:rPr>
          <w:i/>
          <w:spacing w:val="-12"/>
        </w:rPr>
        <w:t> </w:t>
      </w:r>
      <w:r>
        <w:rPr>
          <w:i/>
        </w:rPr>
        <w:t>inglés</w:t>
      </w:r>
      <w:r>
        <w:rPr>
          <w:i/>
          <w:spacing w:val="-13"/>
        </w:rPr>
        <w:t> </w:t>
      </w:r>
      <w:r>
        <w:rPr>
          <w:i/>
        </w:rPr>
        <w:t>para</w:t>
      </w:r>
      <w:r>
        <w:rPr>
          <w:i/>
          <w:spacing w:val="-11"/>
        </w:rPr>
        <w:t> </w:t>
      </w:r>
      <w:r>
        <w:rPr>
          <w:i/>
        </w:rPr>
        <w:t>Acuerdo</w:t>
      </w:r>
      <w:r>
        <w:rPr>
          <w:i/>
          <w:spacing w:val="-12"/>
        </w:rPr>
        <w:t> </w:t>
      </w:r>
      <w:r>
        <w:rPr>
          <w:i/>
        </w:rPr>
        <w:t>Marco)</w:t>
      </w:r>
      <w:r>
        <w:rPr>
          <w:i/>
          <w:spacing w:val="-13"/>
        </w:rPr>
        <w:t> </w:t>
      </w:r>
      <w:r>
        <w:rPr/>
        <w:t>antes</w:t>
      </w:r>
      <w:r>
        <w:rPr>
          <w:spacing w:val="-13"/>
        </w:rPr>
        <w:t> </w:t>
      </w:r>
      <w:r>
        <w:rPr/>
        <w:t>de</w:t>
      </w:r>
      <w:r>
        <w:rPr>
          <w:spacing w:val="-14"/>
        </w:rPr>
        <w:t> </w:t>
      </w:r>
      <w:r>
        <w:rPr/>
        <w:t>diciembre</w:t>
      </w:r>
      <w:r>
        <w:rPr>
          <w:spacing w:val="-12"/>
        </w:rPr>
        <w:t> </w:t>
      </w:r>
      <w:r>
        <w:rPr/>
        <w:t>de</w:t>
      </w:r>
      <w:r>
        <w:rPr>
          <w:spacing w:val="-12"/>
        </w:rPr>
        <w:t> </w:t>
      </w:r>
      <w:r>
        <w:rPr/>
        <w:t>2021 deberán por lo tanto reservar un 20% de su subvención total poder utilizarla para asociaciones multipartitas a partir de enero de 2022.</w:t>
      </w:r>
    </w:p>
    <w:p>
      <w:pPr>
        <w:pStyle w:val="BodyText"/>
        <w:spacing w:before="6"/>
        <w:rPr>
          <w:sz w:val="25"/>
        </w:rPr>
      </w:pPr>
    </w:p>
    <w:p>
      <w:pPr>
        <w:pStyle w:val="Heading3"/>
      </w:pPr>
      <w:r>
        <w:rPr>
          <w:color w:val="FF0000"/>
        </w:rPr>
        <w:t>ÍTEM</w:t>
      </w:r>
      <w:r>
        <w:rPr>
          <w:color w:val="FF0000"/>
          <w:spacing w:val="-4"/>
        </w:rPr>
        <w:t> </w:t>
      </w:r>
      <w:r>
        <w:rPr>
          <w:color w:val="FF0000"/>
        </w:rPr>
        <w:t>1:</w:t>
      </w:r>
      <w:r>
        <w:rPr>
          <w:color w:val="FF0000"/>
          <w:spacing w:val="-5"/>
        </w:rPr>
        <w:t> </w:t>
      </w:r>
      <w:r>
        <w:rPr>
          <w:color w:val="FF0000"/>
          <w:spacing w:val="-2"/>
        </w:rPr>
        <w:t>SALARIO</w:t>
      </w:r>
    </w:p>
    <w:p>
      <w:pPr>
        <w:pStyle w:val="BodyText"/>
        <w:spacing w:line="268" w:lineRule="auto" w:before="161"/>
        <w:ind w:left="963" w:right="869" w:hanging="10"/>
        <w:jc w:val="both"/>
      </w:pPr>
      <w:r>
        <w:rPr/>
        <w:pict>
          <v:line style="position:absolute;mso-position-horizontal-relative:page;mso-position-vertical-relative:paragraph;z-index:15739392" from="345.899994pt,73.18988pt" to="483.549994pt,73.18988pt" stroked="true" strokeweight=".96pt" strokecolor="#000000">
            <v:stroke dashstyle="shortdot"/>
            <w10:wrap type="none"/>
          </v:line>
        </w:pict>
      </w:r>
      <w:r>
        <w:rPr/>
        <w:t>Esta línea de presupuesto cubre todos los gastos de salarios, gastos relacionados con el salario y cuotas pagadas a los empleados en los partidos políticos daneses</w:t>
      </w:r>
    </w:p>
    <w:p>
      <w:pPr>
        <w:spacing w:after="0" w:line="268" w:lineRule="auto"/>
        <w:jc w:val="both"/>
        <w:sectPr>
          <w:headerReference w:type="default" r:id="rId25"/>
          <w:footerReference w:type="default" r:id="rId26"/>
          <w:pgSz w:w="11910" w:h="16850"/>
          <w:pgMar w:header="718" w:footer="843" w:top="940" w:bottom="1040" w:left="1300" w:right="1400"/>
        </w:sectPr>
      </w:pPr>
    </w:p>
    <w:p>
      <w:pPr>
        <w:pStyle w:val="BodyText"/>
      </w:pPr>
    </w:p>
    <w:p>
      <w:pPr>
        <w:pStyle w:val="BodyText"/>
      </w:pPr>
    </w:p>
    <w:p>
      <w:pPr>
        <w:pStyle w:val="BodyText"/>
        <w:spacing w:before="2"/>
        <w:rPr>
          <w:sz w:val="21"/>
        </w:rPr>
      </w:pPr>
    </w:p>
    <w:p>
      <w:pPr>
        <w:pStyle w:val="BodyText"/>
        <w:spacing w:line="271" w:lineRule="auto" w:before="93"/>
        <w:ind w:left="963" w:right="869"/>
        <w:jc w:val="both"/>
      </w:pPr>
      <w:r>
        <w:rPr/>
        <w:t>como también a los consultores pagados para implementar o gestionar la colaboración entre partidos.</w:t>
      </w:r>
    </w:p>
    <w:p>
      <w:pPr>
        <w:pStyle w:val="BodyText"/>
        <w:spacing w:line="268" w:lineRule="auto" w:before="124"/>
        <w:ind w:left="963" w:right="856" w:hanging="10"/>
        <w:jc w:val="both"/>
      </w:pPr>
      <w:r>
        <w:rPr/>
        <w:t>Los empleados de la organización que solicita los fondos pueden ser pagados a través</w:t>
      </w:r>
      <w:r>
        <w:rPr>
          <w:spacing w:val="-14"/>
        </w:rPr>
        <w:t> </w:t>
      </w:r>
      <w:r>
        <w:rPr/>
        <w:t>de</w:t>
      </w:r>
      <w:r>
        <w:rPr>
          <w:spacing w:val="-14"/>
        </w:rPr>
        <w:t> </w:t>
      </w:r>
      <w:r>
        <w:rPr/>
        <w:t>esta</w:t>
      </w:r>
      <w:r>
        <w:rPr>
          <w:spacing w:val="-14"/>
        </w:rPr>
        <w:t> </w:t>
      </w:r>
      <w:r>
        <w:rPr/>
        <w:t>línea</w:t>
      </w:r>
      <w:r>
        <w:rPr>
          <w:spacing w:val="-14"/>
        </w:rPr>
        <w:t> </w:t>
      </w:r>
      <w:r>
        <w:rPr/>
        <w:t>presupuestaria.</w:t>
      </w:r>
      <w:r>
        <w:rPr>
          <w:spacing w:val="-14"/>
        </w:rPr>
        <w:t> </w:t>
      </w:r>
      <w:r>
        <w:rPr/>
        <w:t>Todas</w:t>
      </w:r>
      <w:r>
        <w:rPr>
          <w:spacing w:val="-13"/>
        </w:rPr>
        <w:t> </w:t>
      </w:r>
      <w:r>
        <w:rPr/>
        <w:t>las</w:t>
      </w:r>
      <w:r>
        <w:rPr>
          <w:spacing w:val="-14"/>
        </w:rPr>
        <w:t> </w:t>
      </w:r>
      <w:r>
        <w:rPr/>
        <w:t>horas</w:t>
      </w:r>
      <w:r>
        <w:rPr>
          <w:spacing w:val="-14"/>
        </w:rPr>
        <w:t> </w:t>
      </w:r>
      <w:r>
        <w:rPr/>
        <w:t>empleades</w:t>
      </w:r>
      <w:r>
        <w:rPr>
          <w:spacing w:val="-14"/>
        </w:rPr>
        <w:t> </w:t>
      </w:r>
      <w:r>
        <w:rPr/>
        <w:t>en</w:t>
      </w:r>
      <w:r>
        <w:rPr>
          <w:spacing w:val="-13"/>
        </w:rPr>
        <w:t> </w:t>
      </w:r>
      <w:r>
        <w:rPr/>
        <w:t>su</w:t>
      </w:r>
      <w:r>
        <w:rPr>
          <w:spacing w:val="-14"/>
        </w:rPr>
        <w:t> </w:t>
      </w:r>
      <w:r>
        <w:rPr/>
        <w:t>trabajo</w:t>
      </w:r>
      <w:r>
        <w:rPr>
          <w:spacing w:val="-14"/>
        </w:rPr>
        <w:t> </w:t>
      </w:r>
      <w:r>
        <w:rPr/>
        <w:t>deben ser</w:t>
      </w:r>
      <w:r>
        <w:rPr>
          <w:spacing w:val="-5"/>
        </w:rPr>
        <w:t> </w:t>
      </w:r>
      <w:r>
        <w:rPr/>
        <w:t>recogidas</w:t>
      </w:r>
      <w:r>
        <w:rPr>
          <w:spacing w:val="-4"/>
        </w:rPr>
        <w:t> </w:t>
      </w:r>
      <w:r>
        <w:rPr/>
        <w:t>en</w:t>
      </w:r>
      <w:r>
        <w:rPr>
          <w:spacing w:val="-6"/>
        </w:rPr>
        <w:t> </w:t>
      </w:r>
      <w:r>
        <w:rPr/>
        <w:t>un</w:t>
      </w:r>
      <w:r>
        <w:rPr>
          <w:spacing w:val="-6"/>
        </w:rPr>
        <w:t> </w:t>
      </w:r>
      <w:r>
        <w:rPr/>
        <w:t>sistema</w:t>
      </w:r>
      <w:r>
        <w:rPr>
          <w:spacing w:val="-6"/>
        </w:rPr>
        <w:t> </w:t>
      </w:r>
      <w:r>
        <w:rPr/>
        <w:t>de</w:t>
      </w:r>
      <w:r>
        <w:rPr>
          <w:spacing w:val="-6"/>
        </w:rPr>
        <w:t> </w:t>
      </w:r>
      <w:r>
        <w:rPr/>
        <w:t>registro</w:t>
      </w:r>
      <w:r>
        <w:rPr>
          <w:spacing w:val="-6"/>
        </w:rPr>
        <w:t> </w:t>
      </w:r>
      <w:r>
        <w:rPr/>
        <w:t>de</w:t>
      </w:r>
      <w:r>
        <w:rPr>
          <w:spacing w:val="-6"/>
        </w:rPr>
        <w:t> </w:t>
      </w:r>
      <w:r>
        <w:rPr/>
        <w:t>horas</w:t>
      </w:r>
      <w:r>
        <w:rPr>
          <w:spacing w:val="-5"/>
        </w:rPr>
        <w:t> </w:t>
      </w:r>
      <w:r>
        <w:rPr/>
        <w:t>trabajadas</w:t>
      </w:r>
      <w:r>
        <w:rPr>
          <w:spacing w:val="-5"/>
        </w:rPr>
        <w:t> </w:t>
      </w:r>
      <w:r>
        <w:rPr/>
        <w:t>de</w:t>
      </w:r>
      <w:r>
        <w:rPr>
          <w:spacing w:val="-6"/>
        </w:rPr>
        <w:t> </w:t>
      </w:r>
      <w:r>
        <w:rPr/>
        <w:t>modo</w:t>
      </w:r>
      <w:r>
        <w:rPr>
          <w:spacing w:val="-6"/>
        </w:rPr>
        <w:t> </w:t>
      </w:r>
      <w:r>
        <w:rPr/>
        <w:t>que</w:t>
      </w:r>
      <w:r>
        <w:rPr>
          <w:spacing w:val="-6"/>
        </w:rPr>
        <w:t> </w:t>
      </w:r>
      <w:r>
        <w:rPr/>
        <w:t>se</w:t>
      </w:r>
      <w:r>
        <w:rPr>
          <w:spacing w:val="-6"/>
        </w:rPr>
        <w:t> </w:t>
      </w:r>
      <w:r>
        <w:rPr/>
        <w:t>pueda documentar</w:t>
      </w:r>
      <w:r>
        <w:rPr>
          <w:spacing w:val="-11"/>
        </w:rPr>
        <w:t> </w:t>
      </w:r>
      <w:r>
        <w:rPr/>
        <w:t>una</w:t>
      </w:r>
      <w:r>
        <w:rPr>
          <w:spacing w:val="-12"/>
        </w:rPr>
        <w:t> </w:t>
      </w:r>
      <w:r>
        <w:rPr/>
        <w:t>aplicación</w:t>
      </w:r>
      <w:r>
        <w:rPr>
          <w:spacing w:val="-10"/>
        </w:rPr>
        <w:t> </w:t>
      </w:r>
      <w:r>
        <w:rPr/>
        <w:t>de</w:t>
      </w:r>
      <w:r>
        <w:rPr>
          <w:spacing w:val="-12"/>
        </w:rPr>
        <w:t> </w:t>
      </w:r>
      <w:r>
        <w:rPr/>
        <w:t>horas</w:t>
      </w:r>
      <w:r>
        <w:rPr>
          <w:spacing w:val="-11"/>
        </w:rPr>
        <w:t> </w:t>
      </w:r>
      <w:r>
        <w:rPr/>
        <w:t>específicas</w:t>
      </w:r>
      <w:r>
        <w:rPr>
          <w:spacing w:val="-11"/>
        </w:rPr>
        <w:t> </w:t>
      </w:r>
      <w:r>
        <w:rPr/>
        <w:t>para</w:t>
      </w:r>
      <w:r>
        <w:rPr>
          <w:spacing w:val="-12"/>
        </w:rPr>
        <w:t> </w:t>
      </w:r>
      <w:r>
        <w:rPr/>
        <w:t>cada</w:t>
      </w:r>
      <w:r>
        <w:rPr>
          <w:spacing w:val="-12"/>
        </w:rPr>
        <w:t> </w:t>
      </w:r>
      <w:r>
        <w:rPr/>
        <w:t>actividad.</w:t>
      </w:r>
      <w:r>
        <w:rPr>
          <w:spacing w:val="-12"/>
        </w:rPr>
        <w:t> </w:t>
      </w:r>
      <w:r>
        <w:rPr/>
        <w:t>Las</w:t>
      </w:r>
      <w:r>
        <w:rPr>
          <w:spacing w:val="-11"/>
        </w:rPr>
        <w:t> </w:t>
      </w:r>
      <w:r>
        <w:rPr/>
        <w:t>siguientes áreas de trabajo se pueden incluir en la línea presupuestaria "salario":</w:t>
      </w:r>
    </w:p>
    <w:p>
      <w:pPr>
        <w:pStyle w:val="BodyText"/>
        <w:spacing w:before="130"/>
        <w:ind w:left="954"/>
      </w:pPr>
      <w:r>
        <w:rPr>
          <w:color w:val="FF0000"/>
        </w:rPr>
        <w:t>→</w:t>
      </w:r>
      <w:r>
        <w:rPr>
          <w:color w:val="FF0000"/>
          <w:spacing w:val="-9"/>
        </w:rPr>
        <w:t> </w:t>
      </w:r>
      <w:r>
        <w:rPr/>
        <w:t>Coordinación</w:t>
      </w:r>
      <w:r>
        <w:rPr>
          <w:spacing w:val="-9"/>
        </w:rPr>
        <w:t> </w:t>
      </w:r>
      <w:r>
        <w:rPr/>
        <w:t>de</w:t>
      </w:r>
      <w:r>
        <w:rPr>
          <w:spacing w:val="-7"/>
        </w:rPr>
        <w:t> </w:t>
      </w:r>
      <w:r>
        <w:rPr/>
        <w:t>actividades</w:t>
      </w:r>
      <w:r>
        <w:rPr>
          <w:spacing w:val="-8"/>
        </w:rPr>
        <w:t> </w:t>
      </w:r>
      <w:r>
        <w:rPr/>
        <w:t>del</w:t>
      </w:r>
      <w:r>
        <w:rPr>
          <w:spacing w:val="-9"/>
        </w:rPr>
        <w:t> </w:t>
      </w:r>
      <w:r>
        <w:rPr/>
        <w:t>proyecto</w:t>
      </w:r>
      <w:r>
        <w:rPr>
          <w:spacing w:val="-9"/>
        </w:rPr>
        <w:t> </w:t>
      </w:r>
      <w:r>
        <w:rPr/>
        <w:t>con</w:t>
      </w:r>
      <w:r>
        <w:rPr>
          <w:spacing w:val="-8"/>
        </w:rPr>
        <w:t> </w:t>
      </w:r>
      <w:r>
        <w:rPr/>
        <w:t>participantes</w:t>
      </w:r>
      <w:r>
        <w:rPr>
          <w:spacing w:val="-7"/>
        </w:rPr>
        <w:t> </w:t>
      </w:r>
      <w:r>
        <w:rPr>
          <w:spacing w:val="-2"/>
        </w:rPr>
        <w:t>externos.</w:t>
      </w:r>
    </w:p>
    <w:p>
      <w:pPr>
        <w:pStyle w:val="BodyText"/>
        <w:spacing w:line="271" w:lineRule="auto" w:before="156"/>
        <w:ind w:left="963" w:right="865" w:hanging="10"/>
        <w:jc w:val="both"/>
      </w:pPr>
      <w:r>
        <w:rPr>
          <w:color w:val="FF0000"/>
        </w:rPr>
        <w:t>→ </w:t>
      </w:r>
      <w:r>
        <w:rPr/>
        <w:t>Desarrollo de políticas, estrategias y directrices específicas para la asociación entre partidos.</w:t>
      </w:r>
    </w:p>
    <w:p>
      <w:pPr>
        <w:pStyle w:val="BodyText"/>
        <w:spacing w:before="124"/>
        <w:ind w:left="954"/>
      </w:pPr>
      <w:r>
        <w:rPr>
          <w:color w:val="FF0000"/>
        </w:rPr>
        <w:t>→</w:t>
      </w:r>
      <w:r>
        <w:rPr>
          <w:color w:val="FF0000"/>
          <w:spacing w:val="-10"/>
        </w:rPr>
        <w:t> </w:t>
      </w:r>
      <w:r>
        <w:rPr/>
        <w:t>Asesoramiento</w:t>
      </w:r>
      <w:r>
        <w:rPr>
          <w:spacing w:val="-7"/>
        </w:rPr>
        <w:t> </w:t>
      </w:r>
      <w:r>
        <w:rPr/>
        <w:t>profesional,</w:t>
      </w:r>
      <w:r>
        <w:rPr>
          <w:spacing w:val="-8"/>
        </w:rPr>
        <w:t> </w:t>
      </w:r>
      <w:r>
        <w:rPr/>
        <w:t>apoyo</w:t>
      </w:r>
      <w:r>
        <w:rPr>
          <w:spacing w:val="-9"/>
        </w:rPr>
        <w:t> </w:t>
      </w:r>
      <w:r>
        <w:rPr/>
        <w:t>y</w:t>
      </w:r>
      <w:r>
        <w:rPr>
          <w:spacing w:val="-9"/>
        </w:rPr>
        <w:t> </w:t>
      </w:r>
      <w:r>
        <w:rPr/>
        <w:t>desarrollo</w:t>
      </w:r>
      <w:r>
        <w:rPr>
          <w:spacing w:val="-9"/>
        </w:rPr>
        <w:t> </w:t>
      </w:r>
      <w:r>
        <w:rPr/>
        <w:t>de</w:t>
      </w:r>
      <w:r>
        <w:rPr>
          <w:spacing w:val="-8"/>
        </w:rPr>
        <w:t> </w:t>
      </w:r>
      <w:r>
        <w:rPr/>
        <w:t>capacidades</w:t>
      </w:r>
      <w:r>
        <w:rPr>
          <w:spacing w:val="-8"/>
        </w:rPr>
        <w:t> </w:t>
      </w:r>
      <w:r>
        <w:rPr/>
        <w:t>del</w:t>
      </w:r>
      <w:r>
        <w:rPr>
          <w:spacing w:val="-11"/>
        </w:rPr>
        <w:t> </w:t>
      </w:r>
      <w:r>
        <w:rPr>
          <w:spacing w:val="-2"/>
        </w:rPr>
        <w:t>socio.</w:t>
      </w:r>
    </w:p>
    <w:p>
      <w:pPr>
        <w:pStyle w:val="BodyText"/>
        <w:spacing w:before="154"/>
        <w:ind w:left="954"/>
      </w:pPr>
      <w:r>
        <w:rPr>
          <w:color w:val="FF0000"/>
        </w:rPr>
        <w:t>→</w:t>
      </w:r>
      <w:r>
        <w:rPr>
          <w:color w:val="FF0000"/>
          <w:spacing w:val="-8"/>
        </w:rPr>
        <w:t> </w:t>
      </w:r>
      <w:r>
        <w:rPr/>
        <w:t>Apoyo</w:t>
      </w:r>
      <w:r>
        <w:rPr>
          <w:spacing w:val="-7"/>
        </w:rPr>
        <w:t> </w:t>
      </w:r>
      <w:r>
        <w:rPr/>
        <w:t>profesional</w:t>
      </w:r>
      <w:r>
        <w:rPr>
          <w:spacing w:val="-8"/>
        </w:rPr>
        <w:t> </w:t>
      </w:r>
      <w:r>
        <w:rPr/>
        <w:t>para</w:t>
      </w:r>
      <w:r>
        <w:rPr>
          <w:spacing w:val="-7"/>
        </w:rPr>
        <w:t> </w:t>
      </w:r>
      <w:r>
        <w:rPr/>
        <w:t>la</w:t>
      </w:r>
      <w:r>
        <w:rPr>
          <w:spacing w:val="-7"/>
        </w:rPr>
        <w:t> </w:t>
      </w:r>
      <w:r>
        <w:rPr/>
        <w:t>gestión</w:t>
      </w:r>
      <w:r>
        <w:rPr>
          <w:spacing w:val="-8"/>
        </w:rPr>
        <w:t> </w:t>
      </w:r>
      <w:r>
        <w:rPr/>
        <w:t>y</w:t>
      </w:r>
      <w:r>
        <w:rPr>
          <w:spacing w:val="-6"/>
        </w:rPr>
        <w:t> </w:t>
      </w:r>
      <w:r>
        <w:rPr/>
        <w:t>contabilidad</w:t>
      </w:r>
      <w:r>
        <w:rPr>
          <w:spacing w:val="-6"/>
        </w:rPr>
        <w:t> </w:t>
      </w:r>
      <w:r>
        <w:rPr/>
        <w:t>del</w:t>
      </w:r>
      <w:r>
        <w:rPr>
          <w:spacing w:val="-6"/>
        </w:rPr>
        <w:t> </w:t>
      </w:r>
      <w:r>
        <w:rPr>
          <w:spacing w:val="-2"/>
        </w:rPr>
        <w:t>socio.</w:t>
      </w:r>
    </w:p>
    <w:p>
      <w:pPr>
        <w:pStyle w:val="BodyText"/>
        <w:spacing w:before="155"/>
        <w:ind w:left="968"/>
      </w:pPr>
      <w:r>
        <w:rPr>
          <w:color w:val="FF0000"/>
        </w:rPr>
        <w:t>→</w:t>
      </w:r>
      <w:r>
        <w:rPr>
          <w:color w:val="FF0000"/>
          <w:spacing w:val="-9"/>
        </w:rPr>
        <w:t> </w:t>
      </w:r>
      <w:r>
        <w:rPr/>
        <w:t>Contratación</w:t>
      </w:r>
      <w:r>
        <w:rPr>
          <w:spacing w:val="-8"/>
        </w:rPr>
        <w:t> </w:t>
      </w:r>
      <w:r>
        <w:rPr/>
        <w:t>de</w:t>
      </w:r>
      <w:r>
        <w:rPr>
          <w:spacing w:val="-10"/>
        </w:rPr>
        <w:t> </w:t>
      </w:r>
      <w:r>
        <w:rPr/>
        <w:t>personal,</w:t>
      </w:r>
      <w:r>
        <w:rPr>
          <w:spacing w:val="-9"/>
        </w:rPr>
        <w:t> </w:t>
      </w:r>
      <w:r>
        <w:rPr/>
        <w:t>incluidos</w:t>
      </w:r>
      <w:r>
        <w:rPr>
          <w:spacing w:val="-5"/>
        </w:rPr>
        <w:t> </w:t>
      </w:r>
      <w:r>
        <w:rPr/>
        <w:t>consultores</w:t>
      </w:r>
      <w:r>
        <w:rPr>
          <w:spacing w:val="-8"/>
        </w:rPr>
        <w:t> </w:t>
      </w:r>
      <w:r>
        <w:rPr/>
        <w:t>para</w:t>
      </w:r>
      <w:r>
        <w:rPr>
          <w:spacing w:val="-9"/>
        </w:rPr>
        <w:t> </w:t>
      </w:r>
      <w:r>
        <w:rPr/>
        <w:t>una</w:t>
      </w:r>
      <w:r>
        <w:rPr>
          <w:spacing w:val="-9"/>
        </w:rPr>
        <w:t> </w:t>
      </w:r>
      <w:r>
        <w:rPr/>
        <w:t>actividad</w:t>
      </w:r>
      <w:r>
        <w:rPr>
          <w:spacing w:val="-9"/>
        </w:rPr>
        <w:t> </w:t>
      </w:r>
      <w:r>
        <w:rPr>
          <w:spacing w:val="-2"/>
        </w:rPr>
        <w:t>específica.</w:t>
      </w:r>
    </w:p>
    <w:p>
      <w:pPr>
        <w:pStyle w:val="BodyText"/>
        <w:spacing w:before="156"/>
        <w:ind w:left="968"/>
      </w:pPr>
      <w:r>
        <w:rPr>
          <w:color w:val="FF0000"/>
        </w:rPr>
        <w:t>→</w:t>
      </w:r>
      <w:r>
        <w:rPr>
          <w:color w:val="FF0000"/>
          <w:spacing w:val="-8"/>
        </w:rPr>
        <w:t> </w:t>
      </w:r>
      <w:r>
        <w:rPr/>
        <w:t>Seguimiento</w:t>
      </w:r>
      <w:r>
        <w:rPr>
          <w:spacing w:val="-7"/>
        </w:rPr>
        <w:t> </w:t>
      </w:r>
      <w:r>
        <w:rPr/>
        <w:t>de</w:t>
      </w:r>
      <w:r>
        <w:rPr>
          <w:spacing w:val="-7"/>
        </w:rPr>
        <w:t> </w:t>
      </w:r>
      <w:r>
        <w:rPr/>
        <w:t>las</w:t>
      </w:r>
      <w:r>
        <w:rPr>
          <w:spacing w:val="-7"/>
        </w:rPr>
        <w:t> </w:t>
      </w:r>
      <w:r>
        <w:rPr/>
        <w:t>actividades</w:t>
      </w:r>
      <w:r>
        <w:rPr>
          <w:spacing w:val="-6"/>
        </w:rPr>
        <w:t> </w:t>
      </w:r>
      <w:r>
        <w:rPr/>
        <w:t>del</w:t>
      </w:r>
      <w:r>
        <w:rPr>
          <w:spacing w:val="-8"/>
        </w:rPr>
        <w:t> </w:t>
      </w:r>
      <w:r>
        <w:rPr>
          <w:spacing w:val="-2"/>
        </w:rPr>
        <w:t>proyecto.</w:t>
      </w:r>
    </w:p>
    <w:p>
      <w:pPr>
        <w:pStyle w:val="BodyText"/>
        <w:spacing w:before="154"/>
        <w:ind w:left="954"/>
      </w:pPr>
      <w:r>
        <w:rPr>
          <w:color w:val="FF0000"/>
        </w:rPr>
        <w:t>→</w:t>
      </w:r>
      <w:r>
        <w:rPr>
          <w:color w:val="FF0000"/>
          <w:spacing w:val="-7"/>
        </w:rPr>
        <w:t> </w:t>
      </w:r>
      <w:r>
        <w:rPr/>
        <w:t>Actividades</w:t>
      </w:r>
      <w:r>
        <w:rPr>
          <w:spacing w:val="-5"/>
        </w:rPr>
        <w:t> </w:t>
      </w:r>
      <w:r>
        <w:rPr/>
        <w:t>de</w:t>
      </w:r>
      <w:r>
        <w:rPr>
          <w:spacing w:val="-7"/>
        </w:rPr>
        <w:t> </w:t>
      </w:r>
      <w:r>
        <w:rPr>
          <w:spacing w:val="-2"/>
        </w:rPr>
        <w:t>información.</w:t>
      </w:r>
    </w:p>
    <w:p>
      <w:pPr>
        <w:pStyle w:val="BodyText"/>
        <w:spacing w:before="154"/>
        <w:ind w:left="954"/>
      </w:pPr>
      <w:r>
        <w:rPr>
          <w:color w:val="FF0000"/>
        </w:rPr>
        <w:t>→</w:t>
      </w:r>
      <w:r>
        <w:rPr>
          <w:color w:val="FF0000"/>
          <w:spacing w:val="-8"/>
        </w:rPr>
        <w:t> </w:t>
      </w:r>
      <w:r>
        <w:rPr/>
        <w:t>Gestión</w:t>
      </w:r>
      <w:r>
        <w:rPr>
          <w:spacing w:val="-7"/>
        </w:rPr>
        <w:t> </w:t>
      </w:r>
      <w:r>
        <w:rPr/>
        <w:t>financiera</w:t>
      </w:r>
      <w:r>
        <w:rPr>
          <w:spacing w:val="-6"/>
        </w:rPr>
        <w:t> </w:t>
      </w:r>
      <w:r>
        <w:rPr/>
        <w:t>de</w:t>
      </w:r>
      <w:r>
        <w:rPr>
          <w:spacing w:val="-6"/>
        </w:rPr>
        <w:t> </w:t>
      </w:r>
      <w:r>
        <w:rPr/>
        <w:t>la</w:t>
      </w:r>
      <w:r>
        <w:rPr>
          <w:spacing w:val="-6"/>
        </w:rPr>
        <w:t> </w:t>
      </w:r>
      <w:r>
        <w:rPr>
          <w:spacing w:val="-2"/>
        </w:rPr>
        <w:t>asociación.</w:t>
      </w:r>
    </w:p>
    <w:p>
      <w:pPr>
        <w:pStyle w:val="BodyText"/>
        <w:spacing w:before="156"/>
        <w:ind w:left="954"/>
      </w:pPr>
      <w:r>
        <w:rPr>
          <w:color w:val="FF0000"/>
        </w:rPr>
        <w:t>→</w:t>
      </w:r>
      <w:r>
        <w:rPr>
          <w:color w:val="FF0000"/>
          <w:spacing w:val="-8"/>
        </w:rPr>
        <w:t> </w:t>
      </w:r>
      <w:r>
        <w:rPr/>
        <w:t>Apoyo</w:t>
      </w:r>
      <w:r>
        <w:rPr>
          <w:spacing w:val="-7"/>
        </w:rPr>
        <w:t> </w:t>
      </w:r>
      <w:r>
        <w:rPr/>
        <w:t>administrativo</w:t>
      </w:r>
      <w:r>
        <w:rPr>
          <w:spacing w:val="-5"/>
        </w:rPr>
        <w:t> </w:t>
      </w:r>
      <w:r>
        <w:rPr/>
        <w:t>para</w:t>
      </w:r>
      <w:r>
        <w:rPr>
          <w:spacing w:val="-8"/>
        </w:rPr>
        <w:t> </w:t>
      </w:r>
      <w:r>
        <w:rPr/>
        <w:t>la</w:t>
      </w:r>
      <w:r>
        <w:rPr>
          <w:spacing w:val="-5"/>
        </w:rPr>
        <w:t> </w:t>
      </w:r>
      <w:r>
        <w:rPr>
          <w:spacing w:val="-2"/>
        </w:rPr>
        <w:t>asociación.</w:t>
      </w:r>
    </w:p>
    <w:p>
      <w:pPr>
        <w:pStyle w:val="BodyText"/>
        <w:rPr>
          <w:sz w:val="22"/>
        </w:rPr>
      </w:pPr>
    </w:p>
    <w:p>
      <w:pPr>
        <w:pStyle w:val="BodyText"/>
        <w:spacing w:before="10"/>
        <w:rPr>
          <w:sz w:val="24"/>
        </w:rPr>
      </w:pPr>
    </w:p>
    <w:p>
      <w:pPr>
        <w:pStyle w:val="BodyText"/>
        <w:spacing w:line="271" w:lineRule="auto"/>
        <w:ind w:left="963" w:right="857" w:hanging="10"/>
        <w:jc w:val="both"/>
      </w:pPr>
      <w:r>
        <w:rPr/>
        <w:t>Existen</w:t>
      </w:r>
      <w:r>
        <w:rPr>
          <w:spacing w:val="-7"/>
        </w:rPr>
        <w:t> </w:t>
      </w:r>
      <w:r>
        <w:rPr/>
        <w:t>reglas</w:t>
      </w:r>
      <w:r>
        <w:rPr>
          <w:spacing w:val="-6"/>
        </w:rPr>
        <w:t> </w:t>
      </w:r>
      <w:r>
        <w:rPr/>
        <w:t>fijas</w:t>
      </w:r>
      <w:r>
        <w:rPr>
          <w:spacing w:val="-6"/>
        </w:rPr>
        <w:t> </w:t>
      </w:r>
      <w:r>
        <w:rPr/>
        <w:t>sobre</w:t>
      </w:r>
      <w:r>
        <w:rPr>
          <w:spacing w:val="-7"/>
        </w:rPr>
        <w:t> </w:t>
      </w:r>
      <w:r>
        <w:rPr/>
        <w:t>la</w:t>
      </w:r>
      <w:r>
        <w:rPr>
          <w:spacing w:val="-5"/>
        </w:rPr>
        <w:t> </w:t>
      </w:r>
      <w:r>
        <w:rPr/>
        <w:t>cantidad</w:t>
      </w:r>
      <w:r>
        <w:rPr>
          <w:spacing w:val="-7"/>
        </w:rPr>
        <w:t> </w:t>
      </w:r>
      <w:r>
        <w:rPr/>
        <w:t>que</w:t>
      </w:r>
      <w:r>
        <w:rPr>
          <w:spacing w:val="-7"/>
        </w:rPr>
        <w:t> </w:t>
      </w:r>
      <w:r>
        <w:rPr/>
        <w:t>se</w:t>
      </w:r>
      <w:r>
        <w:rPr>
          <w:spacing w:val="-7"/>
        </w:rPr>
        <w:t> </w:t>
      </w:r>
      <w:r>
        <w:rPr/>
        <w:t>puede</w:t>
      </w:r>
      <w:r>
        <w:rPr>
          <w:spacing w:val="-7"/>
        </w:rPr>
        <w:t> </w:t>
      </w:r>
      <w:r>
        <w:rPr/>
        <w:t>asignar</w:t>
      </w:r>
      <w:r>
        <w:rPr>
          <w:spacing w:val="-5"/>
        </w:rPr>
        <w:t> </w:t>
      </w:r>
      <w:r>
        <w:rPr/>
        <w:t>de</w:t>
      </w:r>
      <w:r>
        <w:rPr>
          <w:spacing w:val="-7"/>
        </w:rPr>
        <w:t> </w:t>
      </w:r>
      <w:r>
        <w:rPr/>
        <w:t>una</w:t>
      </w:r>
      <w:r>
        <w:rPr>
          <w:spacing w:val="-7"/>
        </w:rPr>
        <w:t> </w:t>
      </w:r>
      <w:r>
        <w:rPr/>
        <w:t>subvención</w:t>
      </w:r>
      <w:r>
        <w:rPr>
          <w:spacing w:val="-5"/>
        </w:rPr>
        <w:t> </w:t>
      </w:r>
      <w:r>
        <w:rPr/>
        <w:t>a</w:t>
      </w:r>
      <w:r>
        <w:rPr>
          <w:spacing w:val="-4"/>
        </w:rPr>
        <w:t> </w:t>
      </w:r>
      <w:r>
        <w:rPr/>
        <w:t>los sueldos o remuneraciones de los consultores y la administración (más información en el punto 3 a continuación).</w:t>
      </w:r>
    </w:p>
    <w:p>
      <w:pPr>
        <w:pStyle w:val="BodyText"/>
        <w:rPr>
          <w:sz w:val="22"/>
        </w:rPr>
      </w:pPr>
    </w:p>
    <w:p>
      <w:pPr>
        <w:pStyle w:val="BodyText"/>
        <w:spacing w:before="3"/>
        <w:rPr>
          <w:sz w:val="22"/>
        </w:rPr>
      </w:pPr>
    </w:p>
    <w:p>
      <w:pPr>
        <w:pStyle w:val="Heading3"/>
        <w:ind w:left="116"/>
      </w:pPr>
      <w:r>
        <w:rPr>
          <w:color w:val="FF0000"/>
        </w:rPr>
        <w:t>ÍTEM</w:t>
      </w:r>
      <w:r>
        <w:rPr>
          <w:color w:val="FF0000"/>
          <w:spacing w:val="-5"/>
        </w:rPr>
        <w:t> </w:t>
      </w:r>
      <w:r>
        <w:rPr>
          <w:color w:val="FF0000"/>
        </w:rPr>
        <w:t>2:</w:t>
      </w:r>
      <w:r>
        <w:rPr>
          <w:color w:val="FF0000"/>
          <w:spacing w:val="-7"/>
        </w:rPr>
        <w:t> </w:t>
      </w:r>
      <w:r>
        <w:rPr>
          <w:color w:val="FF0000"/>
        </w:rPr>
        <w:t>GASTOS</w:t>
      </w:r>
      <w:r>
        <w:rPr>
          <w:color w:val="FF0000"/>
          <w:spacing w:val="-4"/>
        </w:rPr>
        <w:t> </w:t>
      </w:r>
      <w:r>
        <w:rPr>
          <w:color w:val="FF0000"/>
          <w:spacing w:val="-2"/>
        </w:rPr>
        <w:t>ADMINSITRATIVOS</w:t>
      </w:r>
    </w:p>
    <w:p>
      <w:pPr>
        <w:pStyle w:val="BodyText"/>
        <w:spacing w:line="271" w:lineRule="auto" w:before="159"/>
        <w:ind w:left="963" w:right="857" w:hanging="10"/>
        <w:jc w:val="both"/>
      </w:pPr>
      <w:r>
        <w:rPr/>
        <w:t>Esta</w:t>
      </w:r>
      <w:r>
        <w:rPr>
          <w:spacing w:val="-4"/>
        </w:rPr>
        <w:t> </w:t>
      </w:r>
      <w:r>
        <w:rPr/>
        <w:t>línea</w:t>
      </w:r>
      <w:r>
        <w:rPr>
          <w:spacing w:val="-4"/>
        </w:rPr>
        <w:t> </w:t>
      </w:r>
      <w:r>
        <w:rPr/>
        <w:t>de</w:t>
      </w:r>
      <w:r>
        <w:rPr>
          <w:spacing w:val="-4"/>
        </w:rPr>
        <w:t> </w:t>
      </w:r>
      <w:r>
        <w:rPr/>
        <w:t>presupuestos</w:t>
      </w:r>
      <w:r>
        <w:rPr>
          <w:spacing w:val="-2"/>
        </w:rPr>
        <w:t> </w:t>
      </w:r>
      <w:r>
        <w:rPr/>
        <w:t>cubre</w:t>
      </w:r>
      <w:r>
        <w:rPr>
          <w:spacing w:val="-4"/>
        </w:rPr>
        <w:t> </w:t>
      </w:r>
      <w:r>
        <w:rPr/>
        <w:t>los</w:t>
      </w:r>
      <w:r>
        <w:rPr>
          <w:spacing w:val="-3"/>
        </w:rPr>
        <w:t> </w:t>
      </w:r>
      <w:r>
        <w:rPr/>
        <w:t>gastos</w:t>
      </w:r>
      <w:r>
        <w:rPr>
          <w:spacing w:val="-3"/>
        </w:rPr>
        <w:t> </w:t>
      </w:r>
      <w:r>
        <w:rPr/>
        <w:t>del</w:t>
      </w:r>
      <w:r>
        <w:rPr>
          <w:spacing w:val="-5"/>
        </w:rPr>
        <w:t> </w:t>
      </w:r>
      <w:r>
        <w:rPr/>
        <w:t>EP</w:t>
      </w:r>
      <w:r>
        <w:rPr>
          <w:spacing w:val="-4"/>
        </w:rPr>
        <w:t> </w:t>
      </w:r>
      <w:r>
        <w:rPr/>
        <w:t>(</w:t>
      </w:r>
      <w:r>
        <w:rPr>
          <w:i/>
        </w:rPr>
        <w:t>siglas</w:t>
      </w:r>
      <w:r>
        <w:rPr>
          <w:i/>
          <w:spacing w:val="-3"/>
        </w:rPr>
        <w:t> </w:t>
      </w:r>
      <w:r>
        <w:rPr>
          <w:i/>
        </w:rPr>
        <w:t>en</w:t>
      </w:r>
      <w:r>
        <w:rPr>
          <w:i/>
          <w:spacing w:val="-3"/>
        </w:rPr>
        <w:t> </w:t>
      </w:r>
      <w:r>
        <w:rPr>
          <w:i/>
        </w:rPr>
        <w:t>inglés</w:t>
      </w:r>
      <w:r>
        <w:rPr>
          <w:i/>
          <w:spacing w:val="-3"/>
        </w:rPr>
        <w:t> </w:t>
      </w:r>
      <w:r>
        <w:rPr>
          <w:i/>
        </w:rPr>
        <w:t>para</w:t>
      </w:r>
      <w:r>
        <w:rPr>
          <w:i/>
          <w:spacing w:val="-1"/>
        </w:rPr>
        <w:t> </w:t>
      </w:r>
      <w:r>
        <w:rPr>
          <w:i/>
        </w:rPr>
        <w:t>Socio</w:t>
      </w:r>
      <w:r>
        <w:rPr>
          <w:i/>
          <w:spacing w:val="-4"/>
        </w:rPr>
        <w:t> </w:t>
      </w:r>
      <w:r>
        <w:rPr>
          <w:i/>
        </w:rPr>
        <w:t>del</w:t>
      </w:r>
      <w:r>
        <w:rPr>
          <w:i/>
        </w:rPr>
        <w:t> Acuerdo) </w:t>
      </w:r>
      <w:r>
        <w:rPr/>
        <w:t>en Dinamarca para la administración de las actividades de asociación incluidas en la solicitud de fondos. La cantidad debe cubrir los gastos operativos, como el alquiler, los gastos de telefonía e informática, suministros de oficina, etc. No se deben incluir los sueldos en esta línea presupuestaria.</w:t>
      </w:r>
    </w:p>
    <w:p>
      <w:pPr>
        <w:pStyle w:val="BodyText"/>
        <w:spacing w:before="3"/>
        <w:rPr>
          <w:sz w:val="31"/>
        </w:rPr>
      </w:pPr>
    </w:p>
    <w:p>
      <w:pPr>
        <w:pStyle w:val="Heading3"/>
      </w:pPr>
      <w:r>
        <w:rPr>
          <w:color w:val="FF0000"/>
        </w:rPr>
        <w:t>ÍTEM</w:t>
      </w:r>
      <w:r>
        <w:rPr>
          <w:color w:val="FF0000"/>
          <w:spacing w:val="-7"/>
        </w:rPr>
        <w:t> </w:t>
      </w:r>
      <w:r>
        <w:rPr>
          <w:color w:val="FF0000"/>
        </w:rPr>
        <w:t>3:</w:t>
      </w:r>
      <w:r>
        <w:rPr>
          <w:color w:val="FF0000"/>
          <w:spacing w:val="-9"/>
        </w:rPr>
        <w:t> </w:t>
      </w:r>
      <w:r>
        <w:rPr>
          <w:color w:val="FF0000"/>
        </w:rPr>
        <w:t>GASTOS</w:t>
      </w:r>
      <w:r>
        <w:rPr>
          <w:color w:val="FF0000"/>
          <w:spacing w:val="-6"/>
        </w:rPr>
        <w:t> </w:t>
      </w:r>
      <w:r>
        <w:rPr>
          <w:color w:val="FF0000"/>
        </w:rPr>
        <w:t>SALARIALES</w:t>
      </w:r>
      <w:r>
        <w:rPr>
          <w:color w:val="FF0000"/>
          <w:spacing w:val="-7"/>
        </w:rPr>
        <w:t> </w:t>
      </w:r>
      <w:r>
        <w:rPr>
          <w:color w:val="FF0000"/>
        </w:rPr>
        <w:t>Y</w:t>
      </w:r>
      <w:r>
        <w:rPr>
          <w:color w:val="FF0000"/>
          <w:spacing w:val="-7"/>
        </w:rPr>
        <w:t> </w:t>
      </w:r>
      <w:r>
        <w:rPr>
          <w:color w:val="FF0000"/>
        </w:rPr>
        <w:t>ADMINISTRATIVOS</w:t>
      </w:r>
      <w:r>
        <w:rPr>
          <w:color w:val="FF0000"/>
          <w:spacing w:val="-8"/>
        </w:rPr>
        <w:t> </w:t>
      </w:r>
      <w:r>
        <w:rPr>
          <w:color w:val="FF0000"/>
          <w:spacing w:val="-2"/>
        </w:rPr>
        <w:t>TOTALES</w:t>
      </w:r>
    </w:p>
    <w:p>
      <w:pPr>
        <w:pStyle w:val="BodyText"/>
        <w:spacing w:line="268" w:lineRule="auto" w:before="161"/>
        <w:ind w:left="963" w:right="863" w:hanging="10"/>
        <w:jc w:val="both"/>
      </w:pPr>
      <w:r>
        <w:rPr/>
        <w:t>La Ejecutiva de DIPD ha decidido un poner un límite máximo para los gastos salariales y gastos administrativos. El límite máximo es el</w:t>
      </w:r>
      <w:r>
        <w:rPr>
          <w:spacing w:val="-1"/>
        </w:rPr>
        <w:t> </w:t>
      </w:r>
      <w:r>
        <w:rPr/>
        <w:t>30% del coste total</w:t>
      </w:r>
      <w:r>
        <w:rPr>
          <w:spacing w:val="-1"/>
        </w:rPr>
        <w:t> </w:t>
      </w:r>
      <w:r>
        <w:rPr/>
        <w:t>de la asociación de partidos.</w:t>
      </w:r>
    </w:p>
    <w:p>
      <w:pPr>
        <w:pStyle w:val="BodyText"/>
        <w:spacing w:line="271" w:lineRule="auto" w:before="128"/>
        <w:ind w:left="963" w:right="860" w:hanging="10"/>
        <w:jc w:val="both"/>
      </w:pPr>
      <w:r>
        <w:rPr/>
        <w:t>Los</w:t>
      </w:r>
      <w:r>
        <w:rPr>
          <w:spacing w:val="-9"/>
        </w:rPr>
        <w:t> </w:t>
      </w:r>
      <w:r>
        <w:rPr/>
        <w:t>límites</w:t>
      </w:r>
      <w:r>
        <w:rPr>
          <w:spacing w:val="-9"/>
        </w:rPr>
        <w:t> </w:t>
      </w:r>
      <w:r>
        <w:rPr/>
        <w:t>máximos</w:t>
      </w:r>
      <w:r>
        <w:rPr>
          <w:spacing w:val="-9"/>
        </w:rPr>
        <w:t> </w:t>
      </w:r>
      <w:r>
        <w:rPr/>
        <w:t>deben</w:t>
      </w:r>
      <w:r>
        <w:rPr>
          <w:spacing w:val="-10"/>
        </w:rPr>
        <w:t> </w:t>
      </w:r>
      <w:r>
        <w:rPr/>
        <w:t>cumplirse</w:t>
      </w:r>
      <w:r>
        <w:rPr>
          <w:spacing w:val="-10"/>
        </w:rPr>
        <w:t> </w:t>
      </w:r>
      <w:r>
        <w:rPr/>
        <w:t>durante</w:t>
      </w:r>
      <w:r>
        <w:rPr>
          <w:spacing w:val="-10"/>
        </w:rPr>
        <w:t> </w:t>
      </w:r>
      <w:r>
        <w:rPr/>
        <w:t>todo</w:t>
      </w:r>
      <w:r>
        <w:rPr>
          <w:spacing w:val="-10"/>
        </w:rPr>
        <w:t> </w:t>
      </w:r>
      <w:r>
        <w:rPr/>
        <w:t>el</w:t>
      </w:r>
      <w:r>
        <w:rPr>
          <w:spacing w:val="-11"/>
        </w:rPr>
        <w:t> </w:t>
      </w:r>
      <w:r>
        <w:rPr/>
        <w:t>período</w:t>
      </w:r>
      <w:r>
        <w:rPr>
          <w:spacing w:val="-10"/>
        </w:rPr>
        <w:t> </w:t>
      </w:r>
      <w:r>
        <w:rPr/>
        <w:t>de</w:t>
      </w:r>
      <w:r>
        <w:rPr>
          <w:spacing w:val="-4"/>
        </w:rPr>
        <w:t> </w:t>
      </w:r>
      <w:r>
        <w:rPr/>
        <w:t>la</w:t>
      </w:r>
      <w:r>
        <w:rPr>
          <w:spacing w:val="-10"/>
        </w:rPr>
        <w:t> </w:t>
      </w:r>
      <w:r>
        <w:rPr/>
        <w:t>asociación</w:t>
      </w:r>
      <w:r>
        <w:rPr>
          <w:spacing w:val="-10"/>
        </w:rPr>
        <w:t> </w:t>
      </w:r>
      <w:r>
        <w:rPr/>
        <w:t>entre partidos y no necesariamente de forma anual.</w:t>
      </w:r>
    </w:p>
    <w:p>
      <w:pPr>
        <w:pStyle w:val="BodyText"/>
        <w:rPr>
          <w:sz w:val="22"/>
        </w:rPr>
      </w:pPr>
    </w:p>
    <w:p>
      <w:pPr>
        <w:pStyle w:val="BodyText"/>
        <w:spacing w:before="3"/>
        <w:rPr>
          <w:sz w:val="22"/>
        </w:rPr>
      </w:pPr>
    </w:p>
    <w:p>
      <w:pPr>
        <w:pStyle w:val="Heading3"/>
      </w:pPr>
      <w:r>
        <w:rPr>
          <w:color w:val="FF0000"/>
        </w:rPr>
        <w:t>ITEM</w:t>
      </w:r>
      <w:r>
        <w:rPr>
          <w:color w:val="FF0000"/>
          <w:spacing w:val="-3"/>
        </w:rPr>
        <w:t> </w:t>
      </w:r>
      <w:r>
        <w:rPr>
          <w:color w:val="FF0000"/>
        </w:rPr>
        <w:t>4:</w:t>
      </w:r>
      <w:r>
        <w:rPr>
          <w:color w:val="FF0000"/>
          <w:spacing w:val="-4"/>
        </w:rPr>
        <w:t> </w:t>
      </w:r>
      <w:r>
        <w:rPr>
          <w:color w:val="FF0000"/>
          <w:spacing w:val="-2"/>
        </w:rPr>
        <w:t>INVERSIONES</w:t>
      </w:r>
    </w:p>
    <w:p>
      <w:pPr>
        <w:pStyle w:val="BodyText"/>
        <w:rPr>
          <w:sz w:val="22"/>
        </w:rPr>
      </w:pPr>
    </w:p>
    <w:p>
      <w:pPr>
        <w:pStyle w:val="BodyText"/>
        <w:spacing w:before="5"/>
        <w:rPr>
          <w:sz w:val="25"/>
        </w:rPr>
      </w:pPr>
    </w:p>
    <w:p>
      <w:pPr>
        <w:pStyle w:val="BodyText"/>
        <w:spacing w:line="268" w:lineRule="auto" w:before="1"/>
        <w:ind w:left="963" w:right="868" w:hanging="10"/>
        <w:jc w:val="both"/>
      </w:pPr>
      <w:r>
        <w:rPr/>
        <w:pict>
          <v:line style="position:absolute;mso-position-horizontal-relative:page;mso-position-vertical-relative:paragraph;z-index:15739904" from="111.949997pt,70.82988pt" to="249.499997pt,70.82988pt" stroked="true" strokeweight=".96pt" strokecolor="#000000">
            <v:stroke dashstyle="shortdot"/>
            <w10:wrap type="none"/>
          </v:line>
        </w:pict>
      </w:r>
      <w:r>
        <w:rPr/>
        <w:t>Esta línea presupuestaria cubre las compras de material (inversiones) de oficina para apoyar la implementación general de la colaboración entre partidos.</w:t>
      </w:r>
    </w:p>
    <w:p>
      <w:pPr>
        <w:spacing w:after="0" w:line="268" w:lineRule="auto"/>
        <w:jc w:val="both"/>
        <w:sectPr>
          <w:headerReference w:type="default" r:id="rId27"/>
          <w:footerReference w:type="default" r:id="rId28"/>
          <w:pgSz w:w="11910" w:h="16850"/>
          <w:pgMar w:header="718" w:footer="843" w:top="940" w:bottom="1040" w:left="1300" w:right="1400"/>
        </w:sectPr>
      </w:pPr>
    </w:p>
    <w:p>
      <w:pPr>
        <w:pStyle w:val="BodyText"/>
        <w:spacing w:line="268" w:lineRule="auto" w:before="182"/>
        <w:ind w:left="963" w:right="867" w:hanging="10"/>
        <w:jc w:val="both"/>
      </w:pPr>
      <w:r>
        <w:rPr/>
        <w:t>Los fondos no pueden utilizarse, por regla general, para la compra de vehículos, inversiones</w:t>
      </w:r>
      <w:r>
        <w:rPr>
          <w:spacing w:val="-4"/>
        </w:rPr>
        <w:t> </w:t>
      </w:r>
      <w:r>
        <w:rPr/>
        <w:t>en</w:t>
      </w:r>
      <w:r>
        <w:rPr>
          <w:spacing w:val="-6"/>
        </w:rPr>
        <w:t> </w:t>
      </w:r>
      <w:r>
        <w:rPr/>
        <w:t>edificios,</w:t>
      </w:r>
      <w:r>
        <w:rPr>
          <w:spacing w:val="-5"/>
        </w:rPr>
        <w:t> </w:t>
      </w:r>
      <w:r>
        <w:rPr/>
        <w:t>otros</w:t>
      </w:r>
      <w:r>
        <w:rPr>
          <w:spacing w:val="-4"/>
        </w:rPr>
        <w:t> </w:t>
      </w:r>
      <w:r>
        <w:rPr/>
        <w:t>utensilios</w:t>
      </w:r>
      <w:r>
        <w:rPr>
          <w:spacing w:val="-4"/>
        </w:rPr>
        <w:t> </w:t>
      </w:r>
      <w:r>
        <w:rPr/>
        <w:t>o</w:t>
      </w:r>
      <w:r>
        <w:rPr>
          <w:spacing w:val="-6"/>
        </w:rPr>
        <w:t> </w:t>
      </w:r>
      <w:r>
        <w:rPr/>
        <w:t>grandes</w:t>
      </w:r>
      <w:r>
        <w:rPr>
          <w:spacing w:val="-4"/>
        </w:rPr>
        <w:t> </w:t>
      </w:r>
      <w:r>
        <w:rPr/>
        <w:t>máquinas.</w:t>
      </w:r>
      <w:r>
        <w:rPr>
          <w:spacing w:val="-5"/>
        </w:rPr>
        <w:t> </w:t>
      </w:r>
      <w:r>
        <w:rPr/>
        <w:t>DIPD</w:t>
      </w:r>
      <w:r>
        <w:rPr>
          <w:spacing w:val="-5"/>
        </w:rPr>
        <w:t> </w:t>
      </w:r>
      <w:r>
        <w:rPr/>
        <w:t>ha</w:t>
      </w:r>
      <w:r>
        <w:rPr>
          <w:spacing w:val="-6"/>
        </w:rPr>
        <w:t> </w:t>
      </w:r>
      <w:r>
        <w:rPr/>
        <w:t>impuesto</w:t>
      </w:r>
      <w:r>
        <w:rPr>
          <w:spacing w:val="-5"/>
        </w:rPr>
        <w:t> </w:t>
      </w:r>
      <w:r>
        <w:rPr/>
        <w:t>un límite</w:t>
      </w:r>
      <w:r>
        <w:rPr>
          <w:spacing w:val="-14"/>
        </w:rPr>
        <w:t> </w:t>
      </w:r>
      <w:r>
        <w:rPr/>
        <w:t>de</w:t>
      </w:r>
      <w:r>
        <w:rPr>
          <w:spacing w:val="-14"/>
        </w:rPr>
        <w:t> </w:t>
      </w:r>
      <w:r>
        <w:rPr/>
        <w:t>20.000</w:t>
      </w:r>
      <w:r>
        <w:rPr>
          <w:spacing w:val="-14"/>
        </w:rPr>
        <w:t> </w:t>
      </w:r>
      <w:r>
        <w:rPr/>
        <w:t>DKK</w:t>
      </w:r>
      <w:r>
        <w:rPr>
          <w:spacing w:val="-14"/>
        </w:rPr>
        <w:t> </w:t>
      </w:r>
      <w:r>
        <w:rPr/>
        <w:t>por</w:t>
      </w:r>
      <w:r>
        <w:rPr>
          <w:spacing w:val="-13"/>
        </w:rPr>
        <w:t> </w:t>
      </w:r>
      <w:r>
        <w:rPr/>
        <w:t>inversión</w:t>
      </w:r>
      <w:r>
        <w:rPr>
          <w:spacing w:val="-14"/>
        </w:rPr>
        <w:t> </w:t>
      </w:r>
      <w:r>
        <w:rPr/>
        <w:t>individual</w:t>
      </w:r>
      <w:r>
        <w:rPr>
          <w:spacing w:val="-14"/>
        </w:rPr>
        <w:t> </w:t>
      </w:r>
      <w:r>
        <w:rPr/>
        <w:t>en</w:t>
      </w:r>
      <w:r>
        <w:rPr>
          <w:spacing w:val="-14"/>
        </w:rPr>
        <w:t> </w:t>
      </w:r>
      <w:r>
        <w:rPr/>
        <w:t>activos.</w:t>
      </w:r>
      <w:r>
        <w:rPr>
          <w:spacing w:val="-14"/>
        </w:rPr>
        <w:t> </w:t>
      </w:r>
      <w:r>
        <w:rPr/>
        <w:t>Si</w:t>
      </w:r>
      <w:r>
        <w:rPr>
          <w:spacing w:val="-13"/>
        </w:rPr>
        <w:t> </w:t>
      </w:r>
      <w:r>
        <w:rPr/>
        <w:t>se</w:t>
      </w:r>
      <w:r>
        <w:rPr>
          <w:spacing w:val="-14"/>
        </w:rPr>
        <w:t> </w:t>
      </w:r>
      <w:r>
        <w:rPr/>
        <w:t>aplican</w:t>
      </w:r>
      <w:r>
        <w:rPr>
          <w:spacing w:val="-14"/>
        </w:rPr>
        <w:t> </w:t>
      </w:r>
      <w:r>
        <w:rPr/>
        <w:t>circunstancias especiales, este límite podría variar una vez que el solicitante haya recibido un permiso especial del DIPD.</w:t>
      </w:r>
    </w:p>
    <w:p>
      <w:pPr>
        <w:pStyle w:val="BodyText"/>
        <w:rPr>
          <w:sz w:val="22"/>
        </w:rPr>
      </w:pPr>
    </w:p>
    <w:p>
      <w:pPr>
        <w:pStyle w:val="BodyText"/>
        <w:spacing w:before="11"/>
        <w:rPr>
          <w:sz w:val="22"/>
        </w:rPr>
      </w:pPr>
    </w:p>
    <w:p>
      <w:pPr>
        <w:pStyle w:val="Heading3"/>
      </w:pPr>
      <w:r>
        <w:rPr>
          <w:color w:val="FF0000"/>
        </w:rPr>
        <w:t>ÍTEM</w:t>
      </w:r>
      <w:r>
        <w:rPr>
          <w:color w:val="FF0000"/>
          <w:spacing w:val="-4"/>
        </w:rPr>
        <w:t> </w:t>
      </w:r>
      <w:r>
        <w:rPr>
          <w:color w:val="FF0000"/>
        </w:rPr>
        <w:t>5:</w:t>
      </w:r>
      <w:r>
        <w:rPr>
          <w:color w:val="FF0000"/>
          <w:spacing w:val="-6"/>
        </w:rPr>
        <w:t> </w:t>
      </w:r>
      <w:r>
        <w:rPr>
          <w:color w:val="FF0000"/>
        </w:rPr>
        <w:t>ACTIVIDADES</w:t>
      </w:r>
      <w:r>
        <w:rPr>
          <w:color w:val="FF0000"/>
          <w:spacing w:val="-6"/>
        </w:rPr>
        <w:t> </w:t>
      </w:r>
      <w:r>
        <w:rPr>
          <w:color w:val="FF0000"/>
        </w:rPr>
        <w:t>EN</w:t>
      </w:r>
      <w:r>
        <w:rPr>
          <w:color w:val="FF0000"/>
          <w:spacing w:val="-3"/>
        </w:rPr>
        <w:t> </w:t>
      </w:r>
      <w:r>
        <w:rPr>
          <w:color w:val="FF0000"/>
          <w:spacing w:val="-2"/>
        </w:rPr>
        <w:t>DINAMARCA</w:t>
      </w:r>
    </w:p>
    <w:p>
      <w:pPr>
        <w:pStyle w:val="BodyText"/>
        <w:rPr>
          <w:sz w:val="22"/>
        </w:rPr>
      </w:pPr>
    </w:p>
    <w:p>
      <w:pPr>
        <w:pStyle w:val="BodyText"/>
        <w:spacing w:line="271" w:lineRule="auto" w:before="143"/>
        <w:ind w:left="963" w:right="859" w:hanging="10"/>
        <w:jc w:val="both"/>
      </w:pPr>
      <w:r>
        <w:rPr/>
        <w:t>Esta línea de presupuestos cubre las actividades que se están llevando a cabo en Dinamarca y que están directamente relacionadas con la colaboración. El ítem también cubre los costos relacionados con las visitas de los socios a Dinamarca, por</w:t>
      </w:r>
      <w:r>
        <w:rPr>
          <w:spacing w:val="-11"/>
        </w:rPr>
        <w:t> </w:t>
      </w:r>
      <w:r>
        <w:rPr/>
        <w:t>ejemplo,</w:t>
      </w:r>
      <w:r>
        <w:rPr>
          <w:spacing w:val="-12"/>
        </w:rPr>
        <w:t> </w:t>
      </w:r>
      <w:r>
        <w:rPr/>
        <w:t>visitas</w:t>
      </w:r>
      <w:r>
        <w:rPr>
          <w:spacing w:val="-11"/>
        </w:rPr>
        <w:t> </w:t>
      </w:r>
      <w:r>
        <w:rPr/>
        <w:t>en</w:t>
      </w:r>
      <w:r>
        <w:rPr>
          <w:spacing w:val="-12"/>
        </w:rPr>
        <w:t> </w:t>
      </w:r>
      <w:r>
        <w:rPr/>
        <w:t>relación</w:t>
      </w:r>
      <w:r>
        <w:rPr>
          <w:spacing w:val="-12"/>
        </w:rPr>
        <w:t> </w:t>
      </w:r>
      <w:r>
        <w:rPr/>
        <w:t>con</w:t>
      </w:r>
      <w:r>
        <w:rPr>
          <w:spacing w:val="-12"/>
        </w:rPr>
        <w:t> </w:t>
      </w:r>
      <w:r>
        <w:rPr/>
        <w:t>elecciones</w:t>
      </w:r>
      <w:r>
        <w:rPr>
          <w:spacing w:val="-11"/>
        </w:rPr>
        <w:t> </w:t>
      </w:r>
      <w:r>
        <w:rPr/>
        <w:t>o</w:t>
      </w:r>
      <w:r>
        <w:rPr>
          <w:spacing w:val="-12"/>
        </w:rPr>
        <w:t> </w:t>
      </w:r>
      <w:r>
        <w:rPr/>
        <w:t>visitas</w:t>
      </w:r>
      <w:r>
        <w:rPr>
          <w:spacing w:val="-11"/>
        </w:rPr>
        <w:t> </w:t>
      </w:r>
      <w:r>
        <w:rPr/>
        <w:t>a</w:t>
      </w:r>
      <w:r>
        <w:rPr>
          <w:spacing w:val="-12"/>
        </w:rPr>
        <w:t> </w:t>
      </w:r>
      <w:r>
        <w:rPr/>
        <w:t>instituciones</w:t>
      </w:r>
      <w:r>
        <w:rPr>
          <w:spacing w:val="-11"/>
        </w:rPr>
        <w:t> </w:t>
      </w:r>
      <w:r>
        <w:rPr/>
        <w:t>democráticas en Dinamarca.</w:t>
      </w:r>
    </w:p>
    <w:p>
      <w:pPr>
        <w:pStyle w:val="BodyText"/>
        <w:spacing w:before="3"/>
        <w:rPr>
          <w:sz w:val="31"/>
        </w:rPr>
      </w:pPr>
    </w:p>
    <w:p>
      <w:pPr>
        <w:pStyle w:val="Heading3"/>
        <w:spacing w:before="1"/>
      </w:pPr>
      <w:r>
        <w:rPr>
          <w:color w:val="FF0000"/>
        </w:rPr>
        <w:t>ITEM</w:t>
      </w:r>
      <w:r>
        <w:rPr>
          <w:color w:val="FF0000"/>
          <w:spacing w:val="-2"/>
        </w:rPr>
        <w:t> </w:t>
      </w:r>
      <w:r>
        <w:rPr>
          <w:color w:val="FF0000"/>
        </w:rPr>
        <w:t>6:</w:t>
      </w:r>
      <w:r>
        <w:rPr>
          <w:color w:val="FF0000"/>
          <w:spacing w:val="52"/>
        </w:rPr>
        <w:t> </w:t>
      </w:r>
      <w:r>
        <w:rPr>
          <w:color w:val="FF0000"/>
          <w:spacing w:val="-2"/>
        </w:rPr>
        <w:t>VIAJES</w:t>
      </w:r>
    </w:p>
    <w:p>
      <w:pPr>
        <w:pStyle w:val="BodyText"/>
        <w:rPr>
          <w:sz w:val="22"/>
        </w:rPr>
      </w:pPr>
    </w:p>
    <w:p>
      <w:pPr>
        <w:pStyle w:val="BodyText"/>
        <w:spacing w:before="4"/>
        <w:rPr>
          <w:sz w:val="25"/>
        </w:rPr>
      </w:pPr>
    </w:p>
    <w:p>
      <w:pPr>
        <w:pStyle w:val="BodyText"/>
        <w:spacing w:line="268" w:lineRule="auto"/>
        <w:ind w:left="963" w:right="857" w:hanging="10"/>
        <w:jc w:val="both"/>
      </w:pPr>
      <w:r>
        <w:rPr/>
        <w:t>En esta línea presupuestaria, el EP (</w:t>
      </w:r>
      <w:r>
        <w:rPr>
          <w:i/>
        </w:rPr>
        <w:t>siglas en inglés para Socio del Encargo)</w:t>
      </w:r>
      <w:r>
        <w:rPr>
          <w:i/>
        </w:rPr>
        <w:t> </w:t>
      </w:r>
      <w:r>
        <w:rPr/>
        <w:t>presupuestará todos los viajes internacionales, que se realizarán como parte de la asociación. Esto se aplica tanto a los viajes que involucran a consultores, personal propio y voluntarios, como a los viajes relacionados con el monitoreo y el progreso general de la asociación, pero también a las revisiones.</w:t>
      </w:r>
    </w:p>
    <w:p>
      <w:pPr>
        <w:pStyle w:val="BodyText"/>
        <w:spacing w:line="271" w:lineRule="auto" w:before="131"/>
        <w:ind w:left="963" w:right="858" w:hanging="10"/>
        <w:jc w:val="both"/>
      </w:pPr>
      <w:r>
        <w:rPr/>
        <w:t>Los gastos totales de viaje para un viaje internacional incluyen lo siguiente: billetes de</w:t>
      </w:r>
      <w:r>
        <w:rPr>
          <w:spacing w:val="-5"/>
        </w:rPr>
        <w:t> </w:t>
      </w:r>
      <w:r>
        <w:rPr/>
        <w:t>avión,</w:t>
      </w:r>
      <w:r>
        <w:rPr>
          <w:spacing w:val="-3"/>
        </w:rPr>
        <w:t> </w:t>
      </w:r>
      <w:r>
        <w:rPr/>
        <w:t>otro</w:t>
      </w:r>
      <w:r>
        <w:rPr>
          <w:spacing w:val="-4"/>
        </w:rPr>
        <w:t> </w:t>
      </w:r>
      <w:r>
        <w:rPr/>
        <w:t>transporte,</w:t>
      </w:r>
      <w:r>
        <w:rPr>
          <w:spacing w:val="-1"/>
        </w:rPr>
        <w:t> </w:t>
      </w:r>
      <w:r>
        <w:rPr/>
        <w:t>dietas</w:t>
      </w:r>
      <w:r>
        <w:rPr>
          <w:spacing w:val="-3"/>
        </w:rPr>
        <w:t> </w:t>
      </w:r>
      <w:r>
        <w:rPr/>
        <w:t>(</w:t>
      </w:r>
      <w:r>
        <w:rPr>
          <w:i/>
        </w:rPr>
        <w:t>per</w:t>
      </w:r>
      <w:r>
        <w:rPr>
          <w:i/>
          <w:spacing w:val="-3"/>
        </w:rPr>
        <w:t> </w:t>
      </w:r>
      <w:r>
        <w:rPr>
          <w:i/>
        </w:rPr>
        <w:t>diem</w:t>
      </w:r>
      <w:r>
        <w:rPr/>
        <w:t>),</w:t>
      </w:r>
      <w:r>
        <w:rPr>
          <w:spacing w:val="-4"/>
        </w:rPr>
        <w:t> </w:t>
      </w:r>
      <w:r>
        <w:rPr/>
        <w:t>alojamiento,</w:t>
      </w:r>
      <w:r>
        <w:rPr>
          <w:spacing w:val="-5"/>
        </w:rPr>
        <w:t> </w:t>
      </w:r>
      <w:r>
        <w:rPr/>
        <w:t>seguro</w:t>
      </w:r>
      <w:r>
        <w:rPr>
          <w:spacing w:val="-2"/>
        </w:rPr>
        <w:t> </w:t>
      </w:r>
      <w:r>
        <w:rPr/>
        <w:t>y</w:t>
      </w:r>
      <w:r>
        <w:rPr>
          <w:spacing w:val="-3"/>
        </w:rPr>
        <w:t> </w:t>
      </w:r>
      <w:r>
        <w:rPr/>
        <w:t>costos</w:t>
      </w:r>
      <w:r>
        <w:rPr>
          <w:spacing w:val="-3"/>
        </w:rPr>
        <w:t> </w:t>
      </w:r>
      <w:r>
        <w:rPr/>
        <w:t>asociados con la vacunación y los medicamentos necesarios.</w:t>
      </w:r>
    </w:p>
    <w:p>
      <w:pPr>
        <w:pStyle w:val="BodyText"/>
        <w:spacing w:line="268" w:lineRule="auto" w:before="123"/>
        <w:ind w:left="963" w:right="857" w:hanging="10"/>
        <w:jc w:val="both"/>
      </w:pPr>
      <w:r>
        <w:rPr/>
        <w:t>En</w:t>
      </w:r>
      <w:r>
        <w:rPr>
          <w:spacing w:val="-2"/>
        </w:rPr>
        <w:t> </w:t>
      </w:r>
      <w:r>
        <w:rPr/>
        <w:t>el</w:t>
      </w:r>
      <w:r>
        <w:rPr>
          <w:spacing w:val="-3"/>
        </w:rPr>
        <w:t> </w:t>
      </w:r>
      <w:r>
        <w:rPr/>
        <w:t>contexto danés, </w:t>
      </w:r>
      <w:r>
        <w:rPr>
          <w:i/>
        </w:rPr>
        <w:t>la</w:t>
      </w:r>
      <w:r>
        <w:rPr>
          <w:i/>
          <w:spacing w:val="-2"/>
        </w:rPr>
        <w:t> </w:t>
      </w:r>
      <w:r>
        <w:rPr>
          <w:i/>
        </w:rPr>
        <w:t>circular</w:t>
      </w:r>
      <w:r>
        <w:rPr>
          <w:i/>
          <w:spacing w:val="-1"/>
        </w:rPr>
        <w:t> </w:t>
      </w:r>
      <w:r>
        <w:rPr>
          <w:i/>
        </w:rPr>
        <w:t>del</w:t>
      </w:r>
      <w:r>
        <w:rPr>
          <w:i/>
          <w:spacing w:val="-3"/>
        </w:rPr>
        <w:t> </w:t>
      </w:r>
      <w:r>
        <w:rPr>
          <w:i/>
        </w:rPr>
        <w:t>Ministerio</w:t>
      </w:r>
      <w:r>
        <w:rPr>
          <w:i/>
          <w:spacing w:val="-2"/>
        </w:rPr>
        <w:t> </w:t>
      </w:r>
      <w:r>
        <w:rPr>
          <w:i/>
        </w:rPr>
        <w:t>de</w:t>
      </w:r>
      <w:r>
        <w:rPr>
          <w:i/>
          <w:spacing w:val="-3"/>
        </w:rPr>
        <w:t> </w:t>
      </w:r>
      <w:r>
        <w:rPr>
          <w:i/>
        </w:rPr>
        <w:t>Finanzas</w:t>
      </w:r>
      <w:r>
        <w:rPr>
          <w:i/>
          <w:spacing w:val="-1"/>
        </w:rPr>
        <w:t> </w:t>
      </w:r>
      <w:r>
        <w:rPr>
          <w:i/>
        </w:rPr>
        <w:t>para</w:t>
      </w:r>
      <w:r>
        <w:rPr>
          <w:i/>
          <w:spacing w:val="-2"/>
        </w:rPr>
        <w:t> </w:t>
      </w:r>
      <w:r>
        <w:rPr>
          <w:i/>
        </w:rPr>
        <w:t>viajes</w:t>
      </w:r>
      <w:r>
        <w:rPr>
          <w:i/>
          <w:spacing w:val="-1"/>
        </w:rPr>
        <w:t> </w:t>
      </w:r>
      <w:r>
        <w:rPr>
          <w:i/>
        </w:rPr>
        <w:t>de</w:t>
      </w:r>
      <w:r>
        <w:rPr>
          <w:i/>
          <w:spacing w:val="-3"/>
        </w:rPr>
        <w:t> </w:t>
      </w:r>
      <w:r>
        <w:rPr>
          <w:i/>
        </w:rPr>
        <w:t>negocios</w:t>
      </w:r>
      <w:r>
        <w:rPr>
          <w:i/>
        </w:rPr>
        <w:t> </w:t>
      </w:r>
      <w:r>
        <w:rPr/>
        <w:t>(actualizada</w:t>
      </w:r>
      <w:r>
        <w:rPr>
          <w:spacing w:val="-2"/>
        </w:rPr>
        <w:t> </w:t>
      </w:r>
      <w:r>
        <w:rPr/>
        <w:t>una</w:t>
      </w:r>
      <w:r>
        <w:rPr>
          <w:spacing w:val="-4"/>
        </w:rPr>
        <w:t> </w:t>
      </w:r>
      <w:r>
        <w:rPr/>
        <w:t>vez</w:t>
      </w:r>
      <w:r>
        <w:rPr>
          <w:spacing w:val="-3"/>
        </w:rPr>
        <w:t> </w:t>
      </w:r>
      <w:r>
        <w:rPr/>
        <w:t>al</w:t>
      </w:r>
      <w:r>
        <w:rPr>
          <w:spacing w:val="-5"/>
        </w:rPr>
        <w:t> </w:t>
      </w:r>
      <w:r>
        <w:rPr/>
        <w:t>año)</w:t>
      </w:r>
      <w:r>
        <w:rPr>
          <w:spacing w:val="-3"/>
        </w:rPr>
        <w:t> </w:t>
      </w:r>
      <w:r>
        <w:rPr/>
        <w:t>se</w:t>
      </w:r>
      <w:r>
        <w:rPr>
          <w:spacing w:val="-4"/>
        </w:rPr>
        <w:t> </w:t>
      </w:r>
      <w:r>
        <w:rPr/>
        <w:t>aplica</w:t>
      </w:r>
      <w:r>
        <w:rPr>
          <w:spacing w:val="-1"/>
        </w:rPr>
        <w:t> </w:t>
      </w:r>
      <w:r>
        <w:rPr/>
        <w:t>para</w:t>
      </w:r>
      <w:r>
        <w:rPr>
          <w:spacing w:val="-4"/>
        </w:rPr>
        <w:t> </w:t>
      </w:r>
      <w:r>
        <w:rPr/>
        <w:t>determinar</w:t>
      </w:r>
      <w:r>
        <w:rPr>
          <w:spacing w:val="-1"/>
        </w:rPr>
        <w:t> </w:t>
      </w:r>
      <w:r>
        <w:rPr/>
        <w:t>de</w:t>
      </w:r>
      <w:r>
        <w:rPr>
          <w:spacing w:val="-5"/>
        </w:rPr>
        <w:t> </w:t>
      </w:r>
      <w:r>
        <w:rPr/>
        <w:t>las</w:t>
      </w:r>
      <w:r>
        <w:rPr>
          <w:spacing w:val="-3"/>
        </w:rPr>
        <w:t> </w:t>
      </w:r>
      <w:r>
        <w:rPr/>
        <w:t>dietas</w:t>
      </w:r>
      <w:r>
        <w:rPr>
          <w:spacing w:val="-3"/>
        </w:rPr>
        <w:t> </w:t>
      </w:r>
      <w:r>
        <w:rPr/>
        <w:t>por</w:t>
      </w:r>
      <w:r>
        <w:rPr>
          <w:spacing w:val="-3"/>
        </w:rPr>
        <w:t> </w:t>
      </w:r>
      <w:r>
        <w:rPr/>
        <w:t>horas</w:t>
      </w:r>
      <w:r>
        <w:rPr>
          <w:spacing w:val="-3"/>
        </w:rPr>
        <w:t> </w:t>
      </w:r>
      <w:r>
        <w:rPr/>
        <w:t>y</w:t>
      </w:r>
      <w:r>
        <w:rPr>
          <w:spacing w:val="-3"/>
        </w:rPr>
        <w:t> </w:t>
      </w:r>
      <w:r>
        <w:rPr/>
        <w:t>por día para viajes. La cantidad máxima de las dietas se especifica en la circular. Se utiliza el método de</w:t>
      </w:r>
      <w:r>
        <w:rPr>
          <w:spacing w:val="-1"/>
        </w:rPr>
        <w:t> </w:t>
      </w:r>
      <w:r>
        <w:rPr/>
        <w:t>cálculo al que se hace referencia en la circular, lo que</w:t>
      </w:r>
      <w:r>
        <w:rPr>
          <w:spacing w:val="-1"/>
        </w:rPr>
        <w:t> </w:t>
      </w:r>
      <w:r>
        <w:rPr/>
        <w:t>significa que</w:t>
      </w:r>
      <w:r>
        <w:rPr>
          <w:spacing w:val="-9"/>
        </w:rPr>
        <w:t> </w:t>
      </w:r>
      <w:r>
        <w:rPr/>
        <w:t>se</w:t>
      </w:r>
      <w:r>
        <w:rPr>
          <w:spacing w:val="-7"/>
        </w:rPr>
        <w:t> </w:t>
      </w:r>
      <w:r>
        <w:rPr/>
        <w:t>descuentan</w:t>
      </w:r>
      <w:r>
        <w:rPr>
          <w:spacing w:val="-7"/>
        </w:rPr>
        <w:t> </w:t>
      </w:r>
      <w:r>
        <w:rPr/>
        <w:t>las</w:t>
      </w:r>
      <w:r>
        <w:rPr>
          <w:spacing w:val="-8"/>
        </w:rPr>
        <w:t> </w:t>
      </w:r>
      <w:r>
        <w:rPr/>
        <w:t>comidas</w:t>
      </w:r>
      <w:r>
        <w:rPr>
          <w:spacing w:val="-8"/>
        </w:rPr>
        <w:t> </w:t>
      </w:r>
      <w:r>
        <w:rPr/>
        <w:t>pagadas.</w:t>
      </w:r>
      <w:r>
        <w:rPr>
          <w:spacing w:val="-6"/>
        </w:rPr>
        <w:t> </w:t>
      </w:r>
      <w:r>
        <w:rPr/>
        <w:t>Si</w:t>
      </w:r>
      <w:r>
        <w:rPr>
          <w:spacing w:val="-7"/>
        </w:rPr>
        <w:t> </w:t>
      </w:r>
      <w:r>
        <w:rPr/>
        <w:t>las</w:t>
      </w:r>
      <w:r>
        <w:rPr>
          <w:spacing w:val="-8"/>
        </w:rPr>
        <w:t> </w:t>
      </w:r>
      <w:r>
        <w:rPr/>
        <w:t>comidas</w:t>
      </w:r>
      <w:r>
        <w:rPr>
          <w:spacing w:val="-8"/>
        </w:rPr>
        <w:t> </w:t>
      </w:r>
      <w:r>
        <w:rPr/>
        <w:t>están</w:t>
      </w:r>
      <w:r>
        <w:rPr>
          <w:spacing w:val="-7"/>
        </w:rPr>
        <w:t> </w:t>
      </w:r>
      <w:r>
        <w:rPr/>
        <w:t>incluidas</w:t>
      </w:r>
      <w:r>
        <w:rPr>
          <w:spacing w:val="-8"/>
        </w:rPr>
        <w:t> </w:t>
      </w:r>
      <w:r>
        <w:rPr/>
        <w:t>en</w:t>
      </w:r>
      <w:r>
        <w:rPr>
          <w:spacing w:val="-9"/>
        </w:rPr>
        <w:t> </w:t>
      </w:r>
      <w:r>
        <w:rPr/>
        <w:t>relación con un seminario, conferencia o reunión, etc. (almuerzo, cena) o desayuno, por ejemplo, en el hotel, la tasa de asignación diaria debe deducirse con un 15% para el</w:t>
      </w:r>
      <w:r>
        <w:rPr>
          <w:spacing w:val="-10"/>
        </w:rPr>
        <w:t> </w:t>
      </w:r>
      <w:r>
        <w:rPr/>
        <w:t>desayuno</w:t>
      </w:r>
      <w:r>
        <w:rPr>
          <w:spacing w:val="-11"/>
        </w:rPr>
        <w:t> </w:t>
      </w:r>
      <w:r>
        <w:rPr/>
        <w:t>y</w:t>
      </w:r>
      <w:r>
        <w:rPr>
          <w:spacing w:val="-8"/>
        </w:rPr>
        <w:t> </w:t>
      </w:r>
      <w:r>
        <w:rPr/>
        <w:t>un</w:t>
      </w:r>
      <w:r>
        <w:rPr>
          <w:spacing w:val="-9"/>
        </w:rPr>
        <w:t> </w:t>
      </w:r>
      <w:r>
        <w:rPr/>
        <w:t>30%</w:t>
      </w:r>
      <w:r>
        <w:rPr>
          <w:spacing w:val="-8"/>
        </w:rPr>
        <w:t> </w:t>
      </w:r>
      <w:r>
        <w:rPr/>
        <w:t>para</w:t>
      </w:r>
      <w:r>
        <w:rPr>
          <w:spacing w:val="-9"/>
        </w:rPr>
        <w:t> </w:t>
      </w:r>
      <w:r>
        <w:rPr/>
        <w:t>el</w:t>
      </w:r>
      <w:r>
        <w:rPr>
          <w:spacing w:val="-10"/>
        </w:rPr>
        <w:t> </w:t>
      </w:r>
      <w:r>
        <w:rPr/>
        <w:t>almuerzo</w:t>
      </w:r>
      <w:r>
        <w:rPr>
          <w:spacing w:val="-9"/>
        </w:rPr>
        <w:t> </w:t>
      </w:r>
      <w:r>
        <w:rPr/>
        <w:t>y</w:t>
      </w:r>
      <w:r>
        <w:rPr>
          <w:spacing w:val="-10"/>
        </w:rPr>
        <w:t> </w:t>
      </w:r>
      <w:r>
        <w:rPr/>
        <w:t>la</w:t>
      </w:r>
      <w:r>
        <w:rPr>
          <w:spacing w:val="-11"/>
        </w:rPr>
        <w:t> </w:t>
      </w:r>
      <w:r>
        <w:rPr/>
        <w:t>cena,</w:t>
      </w:r>
      <w:r>
        <w:rPr>
          <w:spacing w:val="-11"/>
        </w:rPr>
        <w:t> </w:t>
      </w:r>
      <w:r>
        <w:rPr/>
        <w:t>respectivamente.</w:t>
      </w:r>
      <w:r>
        <w:rPr>
          <w:spacing w:val="-7"/>
        </w:rPr>
        <w:t> </w:t>
      </w:r>
      <w:r>
        <w:rPr/>
        <w:t>El</w:t>
      </w:r>
      <w:r>
        <w:rPr>
          <w:spacing w:val="-10"/>
        </w:rPr>
        <w:t> </w:t>
      </w:r>
      <w:r>
        <w:rPr/>
        <w:t>25%</w:t>
      </w:r>
      <w:r>
        <w:rPr>
          <w:spacing w:val="-8"/>
        </w:rPr>
        <w:t> </w:t>
      </w:r>
      <w:r>
        <w:rPr/>
        <w:t>restante es</w:t>
      </w:r>
      <w:r>
        <w:rPr>
          <w:spacing w:val="-3"/>
        </w:rPr>
        <w:t> </w:t>
      </w:r>
      <w:r>
        <w:rPr/>
        <w:t>para</w:t>
      </w:r>
      <w:r>
        <w:rPr>
          <w:spacing w:val="-4"/>
        </w:rPr>
        <w:t> </w:t>
      </w:r>
      <w:r>
        <w:rPr/>
        <w:t>otras</w:t>
      </w:r>
      <w:r>
        <w:rPr>
          <w:spacing w:val="-3"/>
        </w:rPr>
        <w:t> </w:t>
      </w:r>
      <w:r>
        <w:rPr/>
        <w:t>necesidades</w:t>
      </w:r>
      <w:r>
        <w:rPr>
          <w:spacing w:val="-3"/>
        </w:rPr>
        <w:t> </w:t>
      </w:r>
      <w:r>
        <w:rPr/>
        <w:t>pequeñas,</w:t>
      </w:r>
      <w:r>
        <w:rPr>
          <w:spacing w:val="-4"/>
        </w:rPr>
        <w:t> </w:t>
      </w:r>
      <w:r>
        <w:rPr/>
        <w:t>por</w:t>
      </w:r>
      <w:r>
        <w:rPr>
          <w:spacing w:val="-4"/>
        </w:rPr>
        <w:t> </w:t>
      </w:r>
      <w:r>
        <w:rPr/>
        <w:t>ejemplo,</w:t>
      </w:r>
      <w:r>
        <w:rPr>
          <w:spacing w:val="-5"/>
        </w:rPr>
        <w:t> </w:t>
      </w:r>
      <w:r>
        <w:rPr/>
        <w:t>un</w:t>
      </w:r>
      <w:r>
        <w:rPr>
          <w:spacing w:val="-4"/>
        </w:rPr>
        <w:t> </w:t>
      </w:r>
      <w:r>
        <w:rPr/>
        <w:t>periódico</w:t>
      </w:r>
      <w:r>
        <w:rPr>
          <w:spacing w:val="-4"/>
        </w:rPr>
        <w:t> </w:t>
      </w:r>
      <w:r>
        <w:rPr/>
        <w:t>o</w:t>
      </w:r>
      <w:r>
        <w:rPr>
          <w:spacing w:val="-5"/>
        </w:rPr>
        <w:t> </w:t>
      </w:r>
      <w:r>
        <w:rPr/>
        <w:t>una</w:t>
      </w:r>
      <w:r>
        <w:rPr>
          <w:spacing w:val="-5"/>
        </w:rPr>
        <w:t> </w:t>
      </w:r>
      <w:r>
        <w:rPr/>
        <w:t>taza</w:t>
      </w:r>
      <w:r>
        <w:rPr>
          <w:spacing w:val="-4"/>
        </w:rPr>
        <w:t> </w:t>
      </w:r>
      <w:r>
        <w:rPr/>
        <w:t>de</w:t>
      </w:r>
      <w:r>
        <w:rPr>
          <w:spacing w:val="-4"/>
        </w:rPr>
        <w:t> </w:t>
      </w:r>
      <w:r>
        <w:rPr/>
        <w:t>café.</w:t>
      </w:r>
    </w:p>
    <w:p>
      <w:pPr>
        <w:pStyle w:val="BodyText"/>
        <w:spacing w:line="268" w:lineRule="auto" w:before="138"/>
        <w:ind w:left="963" w:right="864" w:hanging="10"/>
        <w:jc w:val="both"/>
      </w:pPr>
      <w:r>
        <w:rPr/>
        <w:t>De acuerdo con las regulaciones del Ministerio de Asuntos Exteriores Danés, se deben utilizar hoteles de clase media. Sin embargo, puede haber circunstancias especiales en algunas ciudades, por ejemplo, cuando los problemas de seguridad pueden considerar necesario utilizar hoteles de un nivel mejor que el de la clase media. En estos casos, se debe redactar una carta explicando las circunstancias </w:t>
      </w:r>
      <w:r>
        <w:rPr>
          <w:spacing w:val="-2"/>
        </w:rPr>
        <w:t>especiales.</w:t>
      </w:r>
    </w:p>
    <w:p>
      <w:pPr>
        <w:pStyle w:val="BodyText"/>
        <w:spacing w:line="271" w:lineRule="auto" w:before="132"/>
        <w:ind w:left="963" w:right="860" w:hanging="10"/>
        <w:jc w:val="both"/>
      </w:pPr>
      <w:r>
        <w:rPr/>
        <w:pict>
          <v:line style="position:absolute;mso-position-horizontal-relative:page;mso-position-vertical-relative:paragraph;z-index:15740416" from="345.899994pt,172.19989pt" to="483.549994pt,172.19989pt" stroked="true" strokeweight=".96pt" strokecolor="#000000">
            <v:stroke dashstyle="shortdot"/>
            <w10:wrap type="none"/>
          </v:line>
        </w:pict>
      </w:r>
      <w:r>
        <w:rPr/>
        <w:t>El mismo principio se aplica</w:t>
      </w:r>
      <w:r>
        <w:rPr>
          <w:spacing w:val="-1"/>
        </w:rPr>
        <w:t> </w:t>
      </w:r>
      <w:r>
        <w:rPr/>
        <w:t>a la forma de</w:t>
      </w:r>
      <w:r>
        <w:rPr>
          <w:spacing w:val="-1"/>
        </w:rPr>
        <w:t> </w:t>
      </w:r>
      <w:r>
        <w:rPr/>
        <w:t>viaje, donde</w:t>
      </w:r>
      <w:r>
        <w:rPr>
          <w:spacing w:val="-1"/>
        </w:rPr>
        <w:t> </w:t>
      </w:r>
      <w:r>
        <w:rPr/>
        <w:t>los viajeros deben utilizar la clase económica o la "forma de viaje más barata", a menos que se trate de circunstancias especiales como enfermedad, necesidades especiales, discapacidad, etc. También se debe redactar una carta en este caso. El transporte local</w:t>
      </w:r>
      <w:r>
        <w:rPr>
          <w:spacing w:val="-5"/>
        </w:rPr>
        <w:t> </w:t>
      </w:r>
      <w:r>
        <w:rPr/>
        <w:t>asociado</w:t>
      </w:r>
      <w:r>
        <w:rPr>
          <w:spacing w:val="-4"/>
        </w:rPr>
        <w:t> </w:t>
      </w:r>
      <w:r>
        <w:rPr/>
        <w:t>con</w:t>
      </w:r>
      <w:r>
        <w:rPr>
          <w:spacing w:val="-5"/>
        </w:rPr>
        <w:t> </w:t>
      </w:r>
      <w:r>
        <w:rPr/>
        <w:t>un</w:t>
      </w:r>
      <w:r>
        <w:rPr>
          <w:spacing w:val="-5"/>
        </w:rPr>
        <w:t> </w:t>
      </w:r>
      <w:r>
        <w:rPr/>
        <w:t>viaje</w:t>
      </w:r>
      <w:r>
        <w:rPr>
          <w:spacing w:val="-2"/>
        </w:rPr>
        <w:t> </w:t>
      </w:r>
      <w:r>
        <w:rPr/>
        <w:t>internacional</w:t>
      </w:r>
      <w:r>
        <w:rPr>
          <w:spacing w:val="-5"/>
        </w:rPr>
        <w:t> </w:t>
      </w:r>
      <w:r>
        <w:rPr/>
        <w:t>(tanto</w:t>
      </w:r>
      <w:r>
        <w:rPr>
          <w:spacing w:val="-4"/>
        </w:rPr>
        <w:t> </w:t>
      </w:r>
      <w:r>
        <w:rPr/>
        <w:t>de</w:t>
      </w:r>
      <w:r>
        <w:rPr>
          <w:spacing w:val="-4"/>
        </w:rPr>
        <w:t> </w:t>
      </w:r>
      <w:r>
        <w:rPr/>
        <w:t>salida</w:t>
      </w:r>
      <w:r>
        <w:rPr>
          <w:spacing w:val="-4"/>
        </w:rPr>
        <w:t> </w:t>
      </w:r>
      <w:r>
        <w:rPr/>
        <w:t>como</w:t>
      </w:r>
      <w:r>
        <w:rPr>
          <w:spacing w:val="-4"/>
        </w:rPr>
        <w:t> </w:t>
      </w:r>
      <w:r>
        <w:rPr/>
        <w:t>de</w:t>
      </w:r>
      <w:r>
        <w:rPr>
          <w:spacing w:val="-4"/>
        </w:rPr>
        <w:t> </w:t>
      </w:r>
      <w:r>
        <w:rPr/>
        <w:t>regreso)</w:t>
      </w:r>
      <w:r>
        <w:rPr>
          <w:spacing w:val="-4"/>
        </w:rPr>
        <w:t> </w:t>
      </w:r>
      <w:r>
        <w:rPr/>
        <w:t>también se</w:t>
      </w:r>
      <w:r>
        <w:rPr>
          <w:spacing w:val="-3"/>
        </w:rPr>
        <w:t> </w:t>
      </w:r>
      <w:r>
        <w:rPr/>
        <w:t>puede</w:t>
      </w:r>
      <w:r>
        <w:rPr>
          <w:spacing w:val="-4"/>
        </w:rPr>
        <w:t> </w:t>
      </w:r>
      <w:r>
        <w:rPr/>
        <w:t>incluir</w:t>
      </w:r>
      <w:r>
        <w:rPr>
          <w:spacing w:val="-2"/>
        </w:rPr>
        <w:t> </w:t>
      </w:r>
      <w:r>
        <w:rPr/>
        <w:t>en</w:t>
      </w:r>
      <w:r>
        <w:rPr>
          <w:spacing w:val="-1"/>
        </w:rPr>
        <w:t> </w:t>
      </w:r>
      <w:r>
        <w:rPr/>
        <w:t>el</w:t>
      </w:r>
      <w:r>
        <w:rPr>
          <w:spacing w:val="-2"/>
        </w:rPr>
        <w:t> </w:t>
      </w:r>
      <w:r>
        <w:rPr/>
        <w:t>gasto</w:t>
      </w:r>
      <w:r>
        <w:rPr>
          <w:spacing w:val="-1"/>
        </w:rPr>
        <w:t> </w:t>
      </w:r>
      <w:r>
        <w:rPr/>
        <w:t>total</w:t>
      </w:r>
      <w:r>
        <w:rPr>
          <w:spacing w:val="-4"/>
        </w:rPr>
        <w:t> </w:t>
      </w:r>
      <w:r>
        <w:rPr/>
        <w:t>del</w:t>
      </w:r>
      <w:r>
        <w:rPr>
          <w:spacing w:val="-4"/>
        </w:rPr>
        <w:t> </w:t>
      </w:r>
      <w:r>
        <w:rPr/>
        <w:t>viaje.</w:t>
      </w:r>
      <w:r>
        <w:rPr>
          <w:spacing w:val="-4"/>
        </w:rPr>
        <w:t> </w:t>
      </w:r>
      <w:r>
        <w:rPr/>
        <w:t>Los</w:t>
      </w:r>
      <w:r>
        <w:rPr>
          <w:spacing w:val="-2"/>
        </w:rPr>
        <w:t> </w:t>
      </w:r>
      <w:r>
        <w:rPr/>
        <w:t>gastos de</w:t>
      </w:r>
      <w:r>
        <w:rPr>
          <w:spacing w:val="-4"/>
        </w:rPr>
        <w:t> </w:t>
      </w:r>
      <w:r>
        <w:rPr/>
        <w:t>seguro</w:t>
      </w:r>
      <w:r>
        <w:rPr>
          <w:spacing w:val="-3"/>
        </w:rPr>
        <w:t> </w:t>
      </w:r>
      <w:r>
        <w:rPr/>
        <w:t>de</w:t>
      </w:r>
      <w:r>
        <w:rPr>
          <w:spacing w:val="-4"/>
        </w:rPr>
        <w:t> </w:t>
      </w:r>
      <w:r>
        <w:rPr/>
        <w:t>viaje</w:t>
      </w:r>
      <w:r>
        <w:rPr>
          <w:spacing w:val="-3"/>
        </w:rPr>
        <w:t> </w:t>
      </w:r>
      <w:r>
        <w:rPr/>
        <w:t>y</w:t>
      </w:r>
      <w:r>
        <w:rPr>
          <w:spacing w:val="-2"/>
        </w:rPr>
        <w:t> </w:t>
      </w:r>
      <w:r>
        <w:rPr/>
        <w:t>vacunas también se pueden incluir en los costos totales de viaje.</w:t>
      </w:r>
    </w:p>
    <w:p>
      <w:pPr>
        <w:spacing w:after="0" w:line="271" w:lineRule="auto"/>
        <w:jc w:val="both"/>
        <w:sectPr>
          <w:headerReference w:type="default" r:id="rId29"/>
          <w:footerReference w:type="default" r:id="rId30"/>
          <w:pgSz w:w="11910" w:h="16850"/>
          <w:pgMar w:header="718" w:footer="843" w:top="940" w:bottom="1040" w:left="1300" w:right="1400"/>
        </w:sectPr>
      </w:pPr>
    </w:p>
    <w:p>
      <w:pPr>
        <w:pStyle w:val="BodyText"/>
      </w:pPr>
    </w:p>
    <w:p>
      <w:pPr>
        <w:pStyle w:val="BodyText"/>
      </w:pPr>
    </w:p>
    <w:p>
      <w:pPr>
        <w:pStyle w:val="BodyText"/>
        <w:spacing w:before="2"/>
        <w:rPr>
          <w:sz w:val="21"/>
        </w:rPr>
      </w:pPr>
    </w:p>
    <w:p>
      <w:pPr>
        <w:pStyle w:val="Heading3"/>
        <w:spacing w:before="93"/>
      </w:pPr>
      <w:r>
        <w:rPr>
          <w:color w:val="FF0000"/>
        </w:rPr>
        <w:t>ÍTEM</w:t>
      </w:r>
      <w:r>
        <w:rPr>
          <w:color w:val="FF0000"/>
          <w:spacing w:val="-5"/>
        </w:rPr>
        <w:t> </w:t>
      </w:r>
      <w:r>
        <w:rPr>
          <w:color w:val="FF0000"/>
        </w:rPr>
        <w:t>7:</w:t>
      </w:r>
      <w:r>
        <w:rPr>
          <w:color w:val="FF0000"/>
          <w:spacing w:val="44"/>
        </w:rPr>
        <w:t> </w:t>
      </w:r>
      <w:r>
        <w:rPr>
          <w:color w:val="FF0000"/>
        </w:rPr>
        <w:t>COLABORACIÓN</w:t>
      </w:r>
      <w:r>
        <w:rPr>
          <w:color w:val="FF0000"/>
          <w:spacing w:val="-2"/>
        </w:rPr>
        <w:t> </w:t>
      </w:r>
      <w:r>
        <w:rPr>
          <w:color w:val="FF0000"/>
        </w:rPr>
        <w:t>E</w:t>
      </w:r>
      <w:r>
        <w:rPr>
          <w:color w:val="FF0000"/>
          <w:spacing w:val="-6"/>
        </w:rPr>
        <w:t> </w:t>
      </w:r>
      <w:r>
        <w:rPr>
          <w:color w:val="FF0000"/>
        </w:rPr>
        <w:t>INTERCAMBIO</w:t>
      </w:r>
      <w:r>
        <w:rPr>
          <w:color w:val="FF0000"/>
          <w:spacing w:val="-5"/>
        </w:rPr>
        <w:t> </w:t>
      </w:r>
      <w:r>
        <w:rPr>
          <w:color w:val="FF0000"/>
        </w:rPr>
        <w:t>DE</w:t>
      </w:r>
      <w:r>
        <w:rPr>
          <w:color w:val="FF0000"/>
          <w:spacing w:val="-6"/>
        </w:rPr>
        <w:t> </w:t>
      </w:r>
      <w:r>
        <w:rPr>
          <w:color w:val="FF0000"/>
          <w:spacing w:val="-2"/>
        </w:rPr>
        <w:t>CONOCIMIENTO</w:t>
      </w:r>
    </w:p>
    <w:p>
      <w:pPr>
        <w:pStyle w:val="BodyText"/>
        <w:spacing w:line="271" w:lineRule="auto" w:before="159"/>
        <w:ind w:left="963" w:right="857" w:hanging="10"/>
        <w:jc w:val="both"/>
      </w:pPr>
      <w:r>
        <w:rPr/>
        <w:t>En esta línea presupuestaria, el EP (</w:t>
      </w:r>
      <w:r>
        <w:rPr>
          <w:i/>
        </w:rPr>
        <w:t>siglas en inglés para Socio del Encargo)</w:t>
      </w:r>
      <w:r>
        <w:rPr>
          <w:i/>
        </w:rPr>
        <w:t> </w:t>
      </w:r>
      <w:r>
        <w:rPr/>
        <w:t>presupuestará todos los costes relacionados con la asociación y el intercambio de conocimientos. El ítem cubre los costes relacionados con la documentación, el aprendizaje,</w:t>
      </w:r>
      <w:r>
        <w:rPr>
          <w:spacing w:val="-5"/>
        </w:rPr>
        <w:t> </w:t>
      </w:r>
      <w:r>
        <w:rPr/>
        <w:t>el</w:t>
      </w:r>
      <w:r>
        <w:rPr>
          <w:spacing w:val="-8"/>
        </w:rPr>
        <w:t> </w:t>
      </w:r>
      <w:r>
        <w:rPr/>
        <w:t>seguimiento,</w:t>
      </w:r>
      <w:r>
        <w:rPr>
          <w:spacing w:val="-6"/>
        </w:rPr>
        <w:t> </w:t>
      </w:r>
      <w:r>
        <w:rPr/>
        <w:t>las</w:t>
      </w:r>
      <w:r>
        <w:rPr>
          <w:spacing w:val="-6"/>
        </w:rPr>
        <w:t> </w:t>
      </w:r>
      <w:r>
        <w:rPr/>
        <w:t>evaluaciones</w:t>
      </w:r>
      <w:r>
        <w:rPr>
          <w:spacing w:val="-6"/>
        </w:rPr>
        <w:t> </w:t>
      </w:r>
      <w:r>
        <w:rPr/>
        <w:t>y</w:t>
      </w:r>
      <w:r>
        <w:rPr>
          <w:spacing w:val="-5"/>
        </w:rPr>
        <w:t> </w:t>
      </w:r>
      <w:r>
        <w:rPr/>
        <w:t>la</w:t>
      </w:r>
      <w:r>
        <w:rPr>
          <w:spacing w:val="-7"/>
        </w:rPr>
        <w:t> </w:t>
      </w:r>
      <w:r>
        <w:rPr/>
        <w:t>recopilación</w:t>
      </w:r>
      <w:r>
        <w:rPr>
          <w:spacing w:val="-7"/>
        </w:rPr>
        <w:t> </w:t>
      </w:r>
      <w:r>
        <w:rPr/>
        <w:t>de</w:t>
      </w:r>
      <w:r>
        <w:rPr>
          <w:spacing w:val="-5"/>
        </w:rPr>
        <w:t> </w:t>
      </w:r>
      <w:r>
        <w:rPr/>
        <w:t>experiencias.</w:t>
      </w:r>
      <w:r>
        <w:rPr>
          <w:spacing w:val="-6"/>
        </w:rPr>
        <w:t> </w:t>
      </w:r>
      <w:r>
        <w:rPr/>
        <w:t>Los gastos relacionados con el ‘</w:t>
      </w:r>
      <w:r>
        <w:rPr>
          <w:i/>
        </w:rPr>
        <w:t>outcome harvesting’ </w:t>
      </w:r>
      <w:r>
        <w:rPr/>
        <w:t>(recolección de resultados) y el mapeo de resultados deben incluirse aquí. Las actividades relacionadas con el intercambio de conocimientos nacionales e internacionales, incluida la puesta a disposición</w:t>
      </w:r>
      <w:r>
        <w:rPr>
          <w:spacing w:val="-5"/>
        </w:rPr>
        <w:t> </w:t>
      </w:r>
      <w:r>
        <w:rPr/>
        <w:t>de</w:t>
      </w:r>
      <w:r>
        <w:rPr>
          <w:spacing w:val="-7"/>
        </w:rPr>
        <w:t> </w:t>
      </w:r>
      <w:r>
        <w:rPr/>
        <w:t>los</w:t>
      </w:r>
      <w:r>
        <w:rPr>
          <w:spacing w:val="-6"/>
        </w:rPr>
        <w:t> </w:t>
      </w:r>
      <w:r>
        <w:rPr/>
        <w:t>resultados</w:t>
      </w:r>
      <w:r>
        <w:rPr>
          <w:spacing w:val="-5"/>
        </w:rPr>
        <w:t> </w:t>
      </w:r>
      <w:r>
        <w:rPr/>
        <w:t>para</w:t>
      </w:r>
      <w:r>
        <w:rPr>
          <w:spacing w:val="-7"/>
        </w:rPr>
        <w:t> </w:t>
      </w:r>
      <w:r>
        <w:rPr/>
        <w:t>la</w:t>
      </w:r>
      <w:r>
        <w:rPr>
          <w:spacing w:val="-4"/>
        </w:rPr>
        <w:t> </w:t>
      </w:r>
      <w:r>
        <w:rPr/>
        <w:t>investigación</w:t>
      </w:r>
      <w:r>
        <w:rPr>
          <w:spacing w:val="-7"/>
        </w:rPr>
        <w:t> </w:t>
      </w:r>
      <w:r>
        <w:rPr/>
        <w:t>en</w:t>
      </w:r>
      <w:r>
        <w:rPr>
          <w:spacing w:val="-7"/>
        </w:rPr>
        <w:t> </w:t>
      </w:r>
      <w:r>
        <w:rPr/>
        <w:t>democratización</w:t>
      </w:r>
      <w:r>
        <w:rPr>
          <w:spacing w:val="-7"/>
        </w:rPr>
        <w:t> </w:t>
      </w:r>
      <w:r>
        <w:rPr/>
        <w:t>y</w:t>
      </w:r>
      <w:r>
        <w:rPr>
          <w:spacing w:val="-5"/>
        </w:rPr>
        <w:t> </w:t>
      </w:r>
      <w:r>
        <w:rPr/>
        <w:t>el</w:t>
      </w:r>
      <w:r>
        <w:rPr>
          <w:spacing w:val="-7"/>
        </w:rPr>
        <w:t> </w:t>
      </w:r>
      <w:r>
        <w:rPr/>
        <w:t>papel</w:t>
      </w:r>
      <w:r>
        <w:rPr>
          <w:spacing w:val="-7"/>
        </w:rPr>
        <w:t> </w:t>
      </w:r>
      <w:r>
        <w:rPr/>
        <w:t>de los partidos políticos, también deben incluirse aquí.</w:t>
      </w:r>
    </w:p>
    <w:p>
      <w:pPr>
        <w:pStyle w:val="BodyText"/>
        <w:rPr>
          <w:sz w:val="31"/>
        </w:rPr>
      </w:pPr>
    </w:p>
    <w:p>
      <w:pPr>
        <w:pStyle w:val="Heading3"/>
      </w:pPr>
      <w:r>
        <w:rPr>
          <w:color w:val="FF0000"/>
        </w:rPr>
        <w:t>ÍTEM</w:t>
      </w:r>
      <w:r>
        <w:rPr>
          <w:color w:val="FF0000"/>
          <w:spacing w:val="-4"/>
        </w:rPr>
        <w:t> </w:t>
      </w:r>
      <w:r>
        <w:rPr>
          <w:color w:val="FF0000"/>
        </w:rPr>
        <w:t>8:</w:t>
      </w:r>
      <w:r>
        <w:rPr>
          <w:color w:val="FF0000"/>
          <w:spacing w:val="-6"/>
        </w:rPr>
        <w:t> </w:t>
      </w:r>
      <w:r>
        <w:rPr>
          <w:color w:val="FF0000"/>
        </w:rPr>
        <w:t>GASTOS</w:t>
      </w:r>
      <w:r>
        <w:rPr>
          <w:color w:val="FF0000"/>
          <w:spacing w:val="-6"/>
        </w:rPr>
        <w:t> </w:t>
      </w:r>
      <w:r>
        <w:rPr>
          <w:color w:val="FF0000"/>
        </w:rPr>
        <w:t>TOTALES</w:t>
      </w:r>
      <w:r>
        <w:rPr>
          <w:color w:val="FF0000"/>
          <w:spacing w:val="-5"/>
        </w:rPr>
        <w:t> </w:t>
      </w:r>
      <w:r>
        <w:rPr>
          <w:color w:val="FF0000"/>
        </w:rPr>
        <w:t>EN</w:t>
      </w:r>
      <w:r>
        <w:rPr>
          <w:color w:val="FF0000"/>
          <w:spacing w:val="-6"/>
        </w:rPr>
        <w:t> </w:t>
      </w:r>
      <w:r>
        <w:rPr>
          <w:color w:val="FF0000"/>
          <w:spacing w:val="-2"/>
        </w:rPr>
        <w:t>DINAMARCA</w:t>
      </w:r>
    </w:p>
    <w:p>
      <w:pPr>
        <w:pStyle w:val="BodyText"/>
        <w:rPr>
          <w:sz w:val="22"/>
        </w:rPr>
      </w:pPr>
    </w:p>
    <w:p>
      <w:pPr>
        <w:pStyle w:val="BodyText"/>
        <w:spacing w:before="146"/>
        <w:ind w:left="102"/>
      </w:pPr>
      <w:r>
        <w:rPr/>
        <w:t>Esta</w:t>
      </w:r>
      <w:r>
        <w:rPr>
          <w:spacing w:val="-6"/>
        </w:rPr>
        <w:t> </w:t>
      </w:r>
      <w:r>
        <w:rPr/>
        <w:t>línea</w:t>
      </w:r>
      <w:r>
        <w:rPr>
          <w:spacing w:val="-5"/>
        </w:rPr>
        <w:t> </w:t>
      </w:r>
      <w:r>
        <w:rPr/>
        <w:t>presupuestaria</w:t>
      </w:r>
      <w:r>
        <w:rPr>
          <w:spacing w:val="-3"/>
        </w:rPr>
        <w:t> </w:t>
      </w:r>
      <w:r>
        <w:rPr/>
        <w:t>es</w:t>
      </w:r>
      <w:r>
        <w:rPr>
          <w:spacing w:val="-4"/>
        </w:rPr>
        <w:t> </w:t>
      </w:r>
      <w:r>
        <w:rPr/>
        <w:t>el</w:t>
      </w:r>
      <w:r>
        <w:rPr>
          <w:spacing w:val="-6"/>
        </w:rPr>
        <w:t> </w:t>
      </w:r>
      <w:r>
        <w:rPr/>
        <w:t>total</w:t>
      </w:r>
      <w:r>
        <w:rPr>
          <w:spacing w:val="-5"/>
        </w:rPr>
        <w:t> </w:t>
      </w:r>
      <w:r>
        <w:rPr/>
        <w:t>de</w:t>
      </w:r>
      <w:r>
        <w:rPr>
          <w:spacing w:val="-4"/>
        </w:rPr>
        <w:t> </w:t>
      </w:r>
      <w:r>
        <w:rPr/>
        <w:t>las</w:t>
      </w:r>
      <w:r>
        <w:rPr>
          <w:spacing w:val="-2"/>
        </w:rPr>
        <w:t> </w:t>
      </w:r>
      <w:r>
        <w:rPr/>
        <w:t>líneas</w:t>
      </w:r>
      <w:r>
        <w:rPr>
          <w:spacing w:val="-5"/>
        </w:rPr>
        <w:t> </w:t>
      </w:r>
      <w:r>
        <w:rPr/>
        <w:t>de</w:t>
      </w:r>
      <w:r>
        <w:rPr>
          <w:spacing w:val="-4"/>
        </w:rPr>
        <w:t> </w:t>
      </w:r>
      <w:r>
        <w:rPr/>
        <w:t>la</w:t>
      </w:r>
      <w:r>
        <w:rPr>
          <w:spacing w:val="-3"/>
        </w:rPr>
        <w:t> </w:t>
      </w:r>
      <w:r>
        <w:rPr/>
        <w:t>1</w:t>
      </w:r>
      <w:r>
        <w:rPr>
          <w:spacing w:val="-5"/>
        </w:rPr>
        <w:t> </w:t>
      </w:r>
      <w:r>
        <w:rPr/>
        <w:t>a</w:t>
      </w:r>
      <w:r>
        <w:rPr>
          <w:spacing w:val="-4"/>
        </w:rPr>
        <w:t> </w:t>
      </w:r>
      <w:r>
        <w:rPr>
          <w:spacing w:val="-5"/>
        </w:rPr>
        <w:t>7.</w:t>
      </w:r>
    </w:p>
    <w:p>
      <w:pPr>
        <w:pStyle w:val="BodyText"/>
        <w:rPr>
          <w:sz w:val="22"/>
        </w:rPr>
      </w:pPr>
    </w:p>
    <w:p>
      <w:pPr>
        <w:pStyle w:val="BodyText"/>
        <w:spacing w:before="2"/>
        <w:rPr>
          <w:sz w:val="25"/>
        </w:rPr>
      </w:pPr>
    </w:p>
    <w:p>
      <w:pPr>
        <w:pStyle w:val="Heading3"/>
        <w:spacing w:before="1"/>
      </w:pPr>
      <w:r>
        <w:rPr>
          <w:color w:val="FF0000"/>
        </w:rPr>
        <w:t>ITEM</w:t>
      </w:r>
      <w:r>
        <w:rPr>
          <w:color w:val="FF0000"/>
          <w:spacing w:val="-6"/>
        </w:rPr>
        <w:t> </w:t>
      </w:r>
      <w:r>
        <w:rPr>
          <w:color w:val="FF0000"/>
        </w:rPr>
        <w:t>9:</w:t>
      </w:r>
      <w:r>
        <w:rPr>
          <w:color w:val="FF0000"/>
          <w:spacing w:val="44"/>
        </w:rPr>
        <w:t> </w:t>
      </w:r>
      <w:r>
        <w:rPr>
          <w:color w:val="FF0000"/>
        </w:rPr>
        <w:t>TRANSFERENCIAS</w:t>
      </w:r>
      <w:r>
        <w:rPr>
          <w:color w:val="FF0000"/>
          <w:spacing w:val="-4"/>
        </w:rPr>
        <w:t> </w:t>
      </w:r>
      <w:r>
        <w:rPr>
          <w:color w:val="FF0000"/>
        </w:rPr>
        <w:t>A</w:t>
      </w:r>
      <w:r>
        <w:rPr>
          <w:color w:val="FF0000"/>
          <w:spacing w:val="-3"/>
        </w:rPr>
        <w:t> </w:t>
      </w:r>
      <w:r>
        <w:rPr>
          <w:color w:val="FF0000"/>
          <w:spacing w:val="-2"/>
        </w:rPr>
        <w:t>SOCIOS</w:t>
      </w:r>
    </w:p>
    <w:p>
      <w:pPr>
        <w:pStyle w:val="BodyText"/>
        <w:spacing w:line="271" w:lineRule="auto" w:before="161"/>
        <w:ind w:left="963" w:right="862" w:hanging="10"/>
        <w:jc w:val="both"/>
      </w:pPr>
      <w:r>
        <w:rPr/>
        <w:t>En esta línea presupuestaria deben presupuestarse todas las transferencias a los socios.</w:t>
      </w:r>
      <w:r>
        <w:rPr>
          <w:spacing w:val="-4"/>
        </w:rPr>
        <w:t> </w:t>
      </w:r>
      <w:r>
        <w:rPr/>
        <w:t>La</w:t>
      </w:r>
      <w:r>
        <w:rPr>
          <w:spacing w:val="-4"/>
        </w:rPr>
        <w:t> </w:t>
      </w:r>
      <w:r>
        <w:rPr/>
        <w:t>Ejecutiva</w:t>
      </w:r>
      <w:r>
        <w:rPr>
          <w:spacing w:val="-4"/>
        </w:rPr>
        <w:t> </w:t>
      </w:r>
      <w:r>
        <w:rPr/>
        <w:t>de</w:t>
      </w:r>
      <w:r>
        <w:rPr>
          <w:spacing w:val="-4"/>
        </w:rPr>
        <w:t> </w:t>
      </w:r>
      <w:r>
        <w:rPr/>
        <w:t>DIPD</w:t>
      </w:r>
      <w:r>
        <w:rPr>
          <w:spacing w:val="-4"/>
        </w:rPr>
        <w:t> </w:t>
      </w:r>
      <w:r>
        <w:rPr/>
        <w:t>tiene</w:t>
      </w:r>
      <w:r>
        <w:rPr>
          <w:spacing w:val="-4"/>
        </w:rPr>
        <w:t> </w:t>
      </w:r>
      <w:r>
        <w:rPr/>
        <w:t>el</w:t>
      </w:r>
      <w:r>
        <w:rPr>
          <w:spacing w:val="-5"/>
        </w:rPr>
        <w:t> </w:t>
      </w:r>
      <w:r>
        <w:rPr/>
        <w:t>objetivo</w:t>
      </w:r>
      <w:r>
        <w:rPr>
          <w:spacing w:val="-4"/>
        </w:rPr>
        <w:t> </w:t>
      </w:r>
      <w:r>
        <w:rPr/>
        <w:t>claro</w:t>
      </w:r>
      <w:r>
        <w:rPr>
          <w:spacing w:val="-4"/>
        </w:rPr>
        <w:t> </w:t>
      </w:r>
      <w:r>
        <w:rPr/>
        <w:t>de</w:t>
      </w:r>
      <w:r>
        <w:rPr>
          <w:spacing w:val="-2"/>
        </w:rPr>
        <w:t> </w:t>
      </w:r>
      <w:r>
        <w:rPr/>
        <w:t>garantizar</w:t>
      </w:r>
      <w:r>
        <w:rPr>
          <w:spacing w:val="-4"/>
        </w:rPr>
        <w:t> </w:t>
      </w:r>
      <w:r>
        <w:rPr/>
        <w:t>que</w:t>
      </w:r>
      <w:r>
        <w:rPr>
          <w:spacing w:val="-5"/>
        </w:rPr>
        <w:t> </w:t>
      </w:r>
      <w:r>
        <w:rPr/>
        <w:t>un</w:t>
      </w:r>
      <w:r>
        <w:rPr>
          <w:spacing w:val="-4"/>
        </w:rPr>
        <w:t> </w:t>
      </w:r>
      <w:r>
        <w:rPr/>
        <w:t>porcentaje considerable de la subvención de DIPD se gaste a través y con las organizaciones </w:t>
      </w:r>
      <w:r>
        <w:rPr>
          <w:spacing w:val="-2"/>
        </w:rPr>
        <w:t>de la asociación, así mismo garantiza las</w:t>
      </w:r>
      <w:r>
        <w:rPr>
          <w:spacing w:val="-3"/>
        </w:rPr>
        <w:t> </w:t>
      </w:r>
      <w:r>
        <w:rPr>
          <w:spacing w:val="-2"/>
        </w:rPr>
        <w:t>capacidades</w:t>
      </w:r>
      <w:r>
        <w:rPr>
          <w:spacing w:val="-3"/>
        </w:rPr>
        <w:t> </w:t>
      </w:r>
      <w:r>
        <w:rPr>
          <w:spacing w:val="-2"/>
        </w:rPr>
        <w:t>organizativas, administrativas </w:t>
      </w:r>
      <w:r>
        <w:rPr/>
        <w:t>y</w:t>
      </w:r>
      <w:r>
        <w:rPr>
          <w:spacing w:val="-12"/>
        </w:rPr>
        <w:t> </w:t>
      </w:r>
      <w:r>
        <w:rPr/>
        <w:t>programáticas</w:t>
      </w:r>
      <w:r>
        <w:rPr>
          <w:spacing w:val="-13"/>
        </w:rPr>
        <w:t> </w:t>
      </w:r>
      <w:r>
        <w:rPr/>
        <w:t>necesarias</w:t>
      </w:r>
      <w:r>
        <w:rPr>
          <w:spacing w:val="-10"/>
        </w:rPr>
        <w:t> </w:t>
      </w:r>
      <w:r>
        <w:rPr/>
        <w:t>en</w:t>
      </w:r>
      <w:r>
        <w:rPr>
          <w:spacing w:val="-12"/>
        </w:rPr>
        <w:t> </w:t>
      </w:r>
      <w:r>
        <w:rPr/>
        <w:t>Dinamarca.</w:t>
      </w:r>
      <w:r>
        <w:rPr>
          <w:spacing w:val="-12"/>
        </w:rPr>
        <w:t> </w:t>
      </w:r>
      <w:r>
        <w:rPr/>
        <w:t>Por</w:t>
      </w:r>
      <w:r>
        <w:rPr>
          <w:spacing w:val="-13"/>
        </w:rPr>
        <w:t> </w:t>
      </w:r>
      <w:r>
        <w:rPr/>
        <w:t>lo</w:t>
      </w:r>
      <w:r>
        <w:rPr>
          <w:spacing w:val="-12"/>
        </w:rPr>
        <w:t> </w:t>
      </w:r>
      <w:r>
        <w:rPr/>
        <w:t>tanto,</w:t>
      </w:r>
      <w:r>
        <w:rPr>
          <w:spacing w:val="-12"/>
        </w:rPr>
        <w:t> </w:t>
      </w:r>
      <w:r>
        <w:rPr/>
        <w:t>la</w:t>
      </w:r>
      <w:r>
        <w:rPr>
          <w:spacing w:val="-9"/>
        </w:rPr>
        <w:t> </w:t>
      </w:r>
      <w:r>
        <w:rPr/>
        <w:t>Ejecutiva</w:t>
      </w:r>
      <w:r>
        <w:rPr>
          <w:spacing w:val="-12"/>
        </w:rPr>
        <w:t> </w:t>
      </w:r>
      <w:r>
        <w:rPr/>
        <w:t>ha</w:t>
      </w:r>
      <w:r>
        <w:rPr>
          <w:spacing w:val="-12"/>
        </w:rPr>
        <w:t> </w:t>
      </w:r>
      <w:r>
        <w:rPr/>
        <w:t>decidido</w:t>
      </w:r>
      <w:r>
        <w:rPr>
          <w:spacing w:val="-12"/>
        </w:rPr>
        <w:t> </w:t>
      </w:r>
      <w:r>
        <w:rPr/>
        <w:t>que un mínimo del 50% del compromiso total de cada EP (</w:t>
      </w:r>
      <w:r>
        <w:rPr>
          <w:i/>
        </w:rPr>
        <w:t>siglas en inglés para Socio</w:t>
      </w:r>
      <w:r>
        <w:rPr>
          <w:i/>
        </w:rPr>
        <w:t> del Encargo) </w:t>
      </w:r>
      <w:r>
        <w:rPr/>
        <w:t>debe transferirse a los socios dentro del período de colaboración.</w:t>
      </w:r>
    </w:p>
    <w:p>
      <w:pPr>
        <w:pStyle w:val="BodyText"/>
        <w:spacing w:line="271" w:lineRule="auto" w:before="118"/>
        <w:ind w:left="963" w:right="871" w:hanging="10"/>
        <w:jc w:val="both"/>
      </w:pPr>
      <w:r>
        <w:rPr/>
        <w:t>Las transferencias a los socios deben usarse para implementar las actividades de la colaboración concentradas en el socio.</w:t>
      </w:r>
    </w:p>
    <w:p>
      <w:pPr>
        <w:pStyle w:val="Heading3"/>
        <w:spacing w:before="123"/>
      </w:pPr>
      <w:r>
        <w:rPr>
          <w:color w:val="FF0000"/>
        </w:rPr>
        <w:t>ÍTEM</w:t>
      </w:r>
      <w:r>
        <w:rPr>
          <w:color w:val="FF0000"/>
          <w:spacing w:val="-5"/>
        </w:rPr>
        <w:t> </w:t>
      </w:r>
      <w:r>
        <w:rPr>
          <w:color w:val="FF0000"/>
        </w:rPr>
        <w:t>10:</w:t>
      </w:r>
      <w:r>
        <w:rPr>
          <w:color w:val="FF0000"/>
          <w:spacing w:val="-4"/>
        </w:rPr>
        <w:t> </w:t>
      </w:r>
      <w:r>
        <w:rPr>
          <w:color w:val="FF0000"/>
        </w:rPr>
        <w:t>MARGEN</w:t>
      </w:r>
      <w:r>
        <w:rPr>
          <w:color w:val="FF0000"/>
          <w:spacing w:val="-7"/>
        </w:rPr>
        <w:t> </w:t>
      </w:r>
      <w:r>
        <w:rPr>
          <w:color w:val="FF0000"/>
        </w:rPr>
        <w:t>DEL</w:t>
      </w:r>
      <w:r>
        <w:rPr>
          <w:color w:val="FF0000"/>
          <w:spacing w:val="-4"/>
        </w:rPr>
        <w:t> </w:t>
      </w:r>
      <w:r>
        <w:rPr>
          <w:color w:val="FF0000"/>
        </w:rPr>
        <w:t>PRESUPUESTO</w:t>
      </w:r>
      <w:r>
        <w:rPr>
          <w:color w:val="FF0000"/>
          <w:spacing w:val="-4"/>
        </w:rPr>
        <w:t> </w:t>
      </w:r>
      <w:r>
        <w:rPr>
          <w:color w:val="FF0000"/>
        </w:rPr>
        <w:t>(3-5</w:t>
      </w:r>
      <w:r>
        <w:rPr>
          <w:color w:val="FF0000"/>
          <w:spacing w:val="-7"/>
        </w:rPr>
        <w:t> </w:t>
      </w:r>
      <w:r>
        <w:rPr>
          <w:color w:val="FF0000"/>
        </w:rPr>
        <w:t>%</w:t>
      </w:r>
      <w:r>
        <w:rPr>
          <w:color w:val="FF0000"/>
          <w:spacing w:val="-6"/>
        </w:rPr>
        <w:t> </w:t>
      </w:r>
      <w:r>
        <w:rPr>
          <w:color w:val="FF0000"/>
        </w:rPr>
        <w:t>DE</w:t>
      </w:r>
      <w:r>
        <w:rPr>
          <w:color w:val="FF0000"/>
          <w:spacing w:val="-4"/>
        </w:rPr>
        <w:t> </w:t>
      </w:r>
      <w:r>
        <w:rPr>
          <w:color w:val="FF0000"/>
        </w:rPr>
        <w:t>ÍTEMS</w:t>
      </w:r>
      <w:r>
        <w:rPr>
          <w:color w:val="FF0000"/>
          <w:spacing w:val="-7"/>
        </w:rPr>
        <w:t> </w:t>
      </w:r>
      <w:r>
        <w:rPr>
          <w:color w:val="FF0000"/>
        </w:rPr>
        <w:t>1-</w:t>
      </w:r>
      <w:r>
        <w:rPr>
          <w:color w:val="FF0000"/>
          <w:spacing w:val="-5"/>
        </w:rPr>
        <w:t>9)</w:t>
      </w:r>
    </w:p>
    <w:p>
      <w:pPr>
        <w:pStyle w:val="BodyText"/>
        <w:spacing w:line="268" w:lineRule="auto" w:before="161"/>
        <w:ind w:left="963" w:right="865" w:hanging="10"/>
        <w:jc w:val="both"/>
      </w:pPr>
      <w:r>
        <w:rPr/>
        <w:t>Un margen en el presupuesto de un mínimo del 3% y un máximo del 5% de los costos totales de los ítems 1 a 9 debe hacerse en el formato del presupuesto.</w:t>
      </w:r>
    </w:p>
    <w:p>
      <w:pPr>
        <w:pStyle w:val="BodyText"/>
        <w:spacing w:line="271" w:lineRule="auto" w:before="128"/>
        <w:ind w:left="963" w:right="858" w:hanging="10"/>
        <w:jc w:val="both"/>
      </w:pPr>
      <w:r>
        <w:rPr/>
        <w:t>El margen presupuestario se puede utilizar en caso de que aparezcan gastos imprevistos en relación con otras líneas presupuestarias. Esta línea se utiliza normalmente</w:t>
      </w:r>
      <w:r>
        <w:rPr>
          <w:spacing w:val="-4"/>
        </w:rPr>
        <w:t> </w:t>
      </w:r>
      <w:r>
        <w:rPr/>
        <w:t>para</w:t>
      </w:r>
      <w:r>
        <w:rPr>
          <w:spacing w:val="-5"/>
        </w:rPr>
        <w:t> </w:t>
      </w:r>
      <w:r>
        <w:rPr/>
        <w:t>afrontar</w:t>
      </w:r>
      <w:r>
        <w:rPr>
          <w:spacing w:val="-5"/>
        </w:rPr>
        <w:t> </w:t>
      </w:r>
      <w:r>
        <w:rPr/>
        <w:t>las</w:t>
      </w:r>
      <w:r>
        <w:rPr>
          <w:spacing w:val="-6"/>
        </w:rPr>
        <w:t> </w:t>
      </w:r>
      <w:r>
        <w:rPr/>
        <w:t>fluctuaciones</w:t>
      </w:r>
      <w:r>
        <w:rPr>
          <w:spacing w:val="-4"/>
        </w:rPr>
        <w:t> </w:t>
      </w:r>
      <w:r>
        <w:rPr/>
        <w:t>monetarias,</w:t>
      </w:r>
      <w:r>
        <w:rPr>
          <w:spacing w:val="-7"/>
        </w:rPr>
        <w:t> </w:t>
      </w:r>
      <w:r>
        <w:rPr/>
        <w:t>que</w:t>
      </w:r>
      <w:r>
        <w:rPr>
          <w:spacing w:val="-5"/>
        </w:rPr>
        <w:t> </w:t>
      </w:r>
      <w:r>
        <w:rPr/>
        <w:t>aumentan</w:t>
      </w:r>
      <w:r>
        <w:rPr>
          <w:spacing w:val="-8"/>
        </w:rPr>
        <w:t> </w:t>
      </w:r>
      <w:r>
        <w:rPr/>
        <w:t>el</w:t>
      </w:r>
      <w:r>
        <w:rPr>
          <w:spacing w:val="-8"/>
        </w:rPr>
        <w:t> </w:t>
      </w:r>
      <w:r>
        <w:rPr/>
        <w:t>coste</w:t>
      </w:r>
      <w:r>
        <w:rPr>
          <w:spacing w:val="-5"/>
        </w:rPr>
        <w:t> </w:t>
      </w:r>
      <w:r>
        <w:rPr/>
        <w:t>del presupuesto de la colaboración, y si un cambio en las condiciones genera un incremento mayor de lo esperado durante la elaboración del presupuesto.</w:t>
      </w:r>
    </w:p>
    <w:p>
      <w:pPr>
        <w:pStyle w:val="BodyText"/>
        <w:spacing w:line="271" w:lineRule="auto" w:before="120"/>
        <w:ind w:left="963" w:right="867" w:hanging="10"/>
        <w:jc w:val="both"/>
      </w:pPr>
      <w:r>
        <w:rPr/>
        <w:t>Las transferencias del margen presupuestario no necesitan ser aprobadas por la DIPD, pero se debe presentar una solicitud a la DIPD en los casos en que:</w:t>
      </w:r>
    </w:p>
    <w:p>
      <w:pPr>
        <w:pStyle w:val="BodyText"/>
        <w:spacing w:line="271" w:lineRule="auto" w:before="124"/>
        <w:ind w:left="963" w:right="869" w:hanging="10"/>
        <w:jc w:val="both"/>
      </w:pPr>
      <w:r>
        <w:rPr/>
        <w:t>→ Es necesario utilizar fondos del</w:t>
      </w:r>
      <w:r>
        <w:rPr>
          <w:spacing w:val="-1"/>
        </w:rPr>
        <w:t> </w:t>
      </w:r>
      <w:r>
        <w:rPr/>
        <w:t>margen presupuestario</w:t>
      </w:r>
      <w:r>
        <w:rPr>
          <w:spacing w:val="-1"/>
        </w:rPr>
        <w:t> </w:t>
      </w:r>
      <w:r>
        <w:rPr/>
        <w:t>para ampliar o</w:t>
      </w:r>
      <w:r>
        <w:rPr>
          <w:spacing w:val="-1"/>
        </w:rPr>
        <w:t> </w:t>
      </w:r>
      <w:r>
        <w:rPr/>
        <w:t>modificar las actividades:</w:t>
      </w:r>
    </w:p>
    <w:p>
      <w:pPr>
        <w:pStyle w:val="BodyText"/>
        <w:spacing w:line="271" w:lineRule="auto" w:before="123"/>
        <w:ind w:left="963" w:right="861" w:hanging="10"/>
        <w:jc w:val="both"/>
      </w:pPr>
      <w:r>
        <w:rPr/>
        <w:t>La</w:t>
      </w:r>
      <w:r>
        <w:rPr>
          <w:spacing w:val="-14"/>
        </w:rPr>
        <w:t> </w:t>
      </w:r>
      <w:r>
        <w:rPr/>
        <w:t>redistribución</w:t>
      </w:r>
      <w:r>
        <w:rPr>
          <w:spacing w:val="-14"/>
        </w:rPr>
        <w:t> </w:t>
      </w:r>
      <w:r>
        <w:rPr/>
        <w:t>y</w:t>
      </w:r>
      <w:r>
        <w:rPr>
          <w:spacing w:val="-12"/>
        </w:rPr>
        <w:t> </w:t>
      </w:r>
      <w:r>
        <w:rPr/>
        <w:t>el</w:t>
      </w:r>
      <w:r>
        <w:rPr>
          <w:spacing w:val="-14"/>
        </w:rPr>
        <w:t> </w:t>
      </w:r>
      <w:r>
        <w:rPr/>
        <w:t>uso</w:t>
      </w:r>
      <w:r>
        <w:rPr>
          <w:spacing w:val="-14"/>
        </w:rPr>
        <w:t> </w:t>
      </w:r>
      <w:r>
        <w:rPr/>
        <w:t>del</w:t>
      </w:r>
      <w:r>
        <w:rPr>
          <w:spacing w:val="-14"/>
        </w:rPr>
        <w:t> </w:t>
      </w:r>
      <w:r>
        <w:rPr/>
        <w:t>margen</w:t>
      </w:r>
      <w:r>
        <w:rPr>
          <w:spacing w:val="-14"/>
        </w:rPr>
        <w:t> </w:t>
      </w:r>
      <w:r>
        <w:rPr/>
        <w:t>del</w:t>
      </w:r>
      <w:r>
        <w:rPr>
          <w:spacing w:val="-13"/>
        </w:rPr>
        <w:t> </w:t>
      </w:r>
      <w:r>
        <w:rPr/>
        <w:t>presupuesto</w:t>
      </w:r>
      <w:r>
        <w:rPr>
          <w:spacing w:val="-13"/>
        </w:rPr>
        <w:t> </w:t>
      </w:r>
      <w:r>
        <w:rPr/>
        <w:t>siempre</w:t>
      </w:r>
      <w:r>
        <w:rPr>
          <w:spacing w:val="-13"/>
        </w:rPr>
        <w:t> </w:t>
      </w:r>
      <w:r>
        <w:rPr/>
        <w:t>deben</w:t>
      </w:r>
      <w:r>
        <w:rPr>
          <w:spacing w:val="-14"/>
        </w:rPr>
        <w:t> </w:t>
      </w:r>
      <w:r>
        <w:rPr/>
        <w:t>llevarse</w:t>
      </w:r>
      <w:r>
        <w:rPr>
          <w:spacing w:val="-14"/>
        </w:rPr>
        <w:t> </w:t>
      </w:r>
      <w:r>
        <w:rPr/>
        <w:t>a</w:t>
      </w:r>
      <w:r>
        <w:rPr>
          <w:spacing w:val="-14"/>
        </w:rPr>
        <w:t> </w:t>
      </w:r>
      <w:r>
        <w:rPr/>
        <w:t>cabo dentro del objetivo general de la asociación.</w:t>
      </w:r>
    </w:p>
    <w:p>
      <w:pPr>
        <w:pStyle w:val="Heading3"/>
        <w:spacing w:before="126"/>
      </w:pPr>
      <w:r>
        <w:rPr>
          <w:color w:val="FF0000"/>
        </w:rPr>
        <w:t>ÍTEM</w:t>
      </w:r>
      <w:r>
        <w:rPr>
          <w:color w:val="FF0000"/>
          <w:spacing w:val="-5"/>
        </w:rPr>
        <w:t> </w:t>
      </w:r>
      <w:r>
        <w:rPr>
          <w:color w:val="FF0000"/>
        </w:rPr>
        <w:t>11:</w:t>
      </w:r>
      <w:r>
        <w:rPr>
          <w:color w:val="FF0000"/>
          <w:spacing w:val="-4"/>
        </w:rPr>
        <w:t> </w:t>
      </w:r>
      <w:r>
        <w:rPr>
          <w:color w:val="FF0000"/>
          <w:spacing w:val="-2"/>
        </w:rPr>
        <w:t>AUDITORÍA</w:t>
      </w:r>
    </w:p>
    <w:p>
      <w:pPr>
        <w:pStyle w:val="BodyText"/>
        <w:spacing w:line="268" w:lineRule="auto" w:before="159"/>
        <w:ind w:left="978" w:right="860" w:hanging="10"/>
        <w:jc w:val="both"/>
      </w:pPr>
      <w:r>
        <w:rPr/>
        <w:pict>
          <v:line style="position:absolute;mso-position-horizontal-relative:page;mso-position-vertical-relative:paragraph;z-index:15740928" from="111.949997pt,97.209892pt" to="249.499997pt,97.209892pt" stroked="true" strokeweight=".96pt" strokecolor="#000000">
            <v:stroke dashstyle="shortdot"/>
            <w10:wrap type="none"/>
          </v:line>
        </w:pict>
      </w:r>
      <w:r>
        <w:rPr/>
        <w:t>Todos los EP (</w:t>
      </w:r>
      <w:r>
        <w:rPr>
          <w:i/>
        </w:rPr>
        <w:t>siglas en inglés para Socio del Encargo) </w:t>
      </w:r>
      <w:r>
        <w:rPr/>
        <w:t>que reciben subvenciones de DIPD deben realizar una auditoría externa llevada a cabo por un auditor autorizado. La auditoría debe realizarse anualmente, aunque el período contable puede, en ciertos casos, extenderse hasta un máximo de 18 meses.</w:t>
      </w:r>
    </w:p>
    <w:p>
      <w:pPr>
        <w:spacing w:after="0" w:line="268" w:lineRule="auto"/>
        <w:jc w:val="both"/>
        <w:sectPr>
          <w:headerReference w:type="default" r:id="rId31"/>
          <w:footerReference w:type="default" r:id="rId32"/>
          <w:pgSz w:w="11910" w:h="16850"/>
          <w:pgMar w:header="718" w:footer="843" w:top="940" w:bottom="1040" w:left="1300" w:right="1400"/>
        </w:sectPr>
      </w:pPr>
    </w:p>
    <w:p>
      <w:pPr>
        <w:pStyle w:val="BodyText"/>
        <w:spacing w:line="268" w:lineRule="auto" w:before="182"/>
        <w:ind w:left="963" w:right="859" w:hanging="10"/>
        <w:jc w:val="both"/>
      </w:pPr>
      <w:r>
        <w:rPr/>
        <w:t>La</w:t>
      </w:r>
      <w:r>
        <w:rPr>
          <w:spacing w:val="-9"/>
        </w:rPr>
        <w:t> </w:t>
      </w:r>
      <w:r>
        <w:rPr/>
        <w:t>auditoría</w:t>
      </w:r>
      <w:r>
        <w:rPr>
          <w:spacing w:val="-7"/>
        </w:rPr>
        <w:t> </w:t>
      </w:r>
      <w:r>
        <w:rPr/>
        <w:t>puede</w:t>
      </w:r>
      <w:r>
        <w:rPr>
          <w:spacing w:val="-9"/>
        </w:rPr>
        <w:t> </w:t>
      </w:r>
      <w:r>
        <w:rPr/>
        <w:t>ser</w:t>
      </w:r>
      <w:r>
        <w:rPr>
          <w:spacing w:val="-8"/>
        </w:rPr>
        <w:t> </w:t>
      </w:r>
      <w:r>
        <w:rPr/>
        <w:t>realizada</w:t>
      </w:r>
      <w:r>
        <w:rPr>
          <w:spacing w:val="-9"/>
        </w:rPr>
        <w:t> </w:t>
      </w:r>
      <w:r>
        <w:rPr/>
        <w:t>por</w:t>
      </w:r>
      <w:r>
        <w:rPr>
          <w:spacing w:val="-8"/>
        </w:rPr>
        <w:t> </w:t>
      </w:r>
      <w:r>
        <w:rPr/>
        <w:t>el</w:t>
      </w:r>
      <w:r>
        <w:rPr>
          <w:spacing w:val="-7"/>
        </w:rPr>
        <w:t> </w:t>
      </w:r>
      <w:r>
        <w:rPr/>
        <w:t>auditor</w:t>
      </w:r>
      <w:r>
        <w:rPr>
          <w:spacing w:val="-6"/>
        </w:rPr>
        <w:t> </w:t>
      </w:r>
      <w:r>
        <w:rPr/>
        <w:t>externo</w:t>
      </w:r>
      <w:r>
        <w:rPr>
          <w:spacing w:val="-4"/>
        </w:rPr>
        <w:t> </w:t>
      </w:r>
      <w:r>
        <w:rPr/>
        <w:t>habitual</w:t>
      </w:r>
      <w:r>
        <w:rPr>
          <w:spacing w:val="-7"/>
        </w:rPr>
        <w:t> </w:t>
      </w:r>
      <w:r>
        <w:rPr/>
        <w:t>del</w:t>
      </w:r>
      <w:r>
        <w:rPr>
          <w:spacing w:val="-7"/>
        </w:rPr>
        <w:t> </w:t>
      </w:r>
      <w:r>
        <w:rPr/>
        <w:t>EP</w:t>
      </w:r>
      <w:r>
        <w:rPr>
          <w:spacing w:val="-7"/>
        </w:rPr>
        <w:t> </w:t>
      </w:r>
      <w:r>
        <w:rPr/>
        <w:t>u</w:t>
      </w:r>
      <w:r>
        <w:rPr>
          <w:spacing w:val="-7"/>
        </w:rPr>
        <w:t> </w:t>
      </w:r>
      <w:r>
        <w:rPr/>
        <w:t>otro</w:t>
      </w:r>
      <w:r>
        <w:rPr>
          <w:spacing w:val="-6"/>
        </w:rPr>
        <w:t> </w:t>
      </w:r>
      <w:r>
        <w:rPr/>
        <w:t>auditor externo con el que se haya llegado a un acuerdo específico con respecto a la auditoría de la colaboración. Los costes asociados con esta auditoría deben presupuestarse en esta línea presupuestaria.</w:t>
      </w:r>
    </w:p>
    <w:p>
      <w:pPr>
        <w:pStyle w:val="BodyText"/>
        <w:spacing w:line="271" w:lineRule="auto" w:before="131"/>
        <w:ind w:left="963" w:right="858" w:hanging="10"/>
        <w:jc w:val="both"/>
      </w:pPr>
      <w:r>
        <w:rPr/>
        <w:t>La</w:t>
      </w:r>
      <w:r>
        <w:rPr>
          <w:spacing w:val="-1"/>
        </w:rPr>
        <w:t> </w:t>
      </w:r>
      <w:r>
        <w:rPr/>
        <w:t>subvención de</w:t>
      </w:r>
      <w:r>
        <w:rPr>
          <w:spacing w:val="-1"/>
        </w:rPr>
        <w:t> </w:t>
      </w:r>
      <w:r>
        <w:rPr/>
        <w:t>DIPD debe</w:t>
      </w:r>
      <w:r>
        <w:rPr>
          <w:spacing w:val="-1"/>
        </w:rPr>
        <w:t> </w:t>
      </w:r>
      <w:r>
        <w:rPr/>
        <w:t>incluirse</w:t>
      </w:r>
      <w:r>
        <w:rPr>
          <w:spacing w:val="-1"/>
        </w:rPr>
        <w:t> </w:t>
      </w:r>
      <w:r>
        <w:rPr/>
        <w:t>en las cuentas anuales generales auditadas del EP.</w:t>
      </w:r>
    </w:p>
    <w:p>
      <w:pPr>
        <w:pStyle w:val="BodyText"/>
        <w:rPr>
          <w:sz w:val="22"/>
        </w:rPr>
      </w:pPr>
    </w:p>
    <w:p>
      <w:pPr>
        <w:pStyle w:val="BodyText"/>
        <w:spacing w:before="3"/>
        <w:rPr>
          <w:sz w:val="22"/>
        </w:rPr>
      </w:pPr>
    </w:p>
    <w:p>
      <w:pPr>
        <w:pStyle w:val="Heading2"/>
        <w:numPr>
          <w:ilvl w:val="1"/>
          <w:numId w:val="4"/>
        </w:numPr>
        <w:tabs>
          <w:tab w:pos="1160" w:val="left" w:leader="none"/>
          <w:tab w:pos="1161" w:val="left" w:leader="none"/>
        </w:tabs>
        <w:spacing w:line="240" w:lineRule="auto" w:before="0" w:after="0"/>
        <w:ind w:left="1160" w:right="0" w:hanging="1059"/>
        <w:jc w:val="left"/>
      </w:pPr>
      <w:bookmarkStart w:name="_TOC_250017" w:id="16"/>
      <w:r>
        <w:rPr>
          <w:color w:val="FF0000"/>
        </w:rPr>
        <w:t>INFORMES,</w:t>
      </w:r>
      <w:r>
        <w:rPr>
          <w:color w:val="FF0000"/>
          <w:spacing w:val="-2"/>
        </w:rPr>
        <w:t> </w:t>
      </w:r>
      <w:r>
        <w:rPr>
          <w:color w:val="FF0000"/>
        </w:rPr>
        <w:t>MONITOREO</w:t>
      </w:r>
      <w:r>
        <w:rPr>
          <w:color w:val="FF0000"/>
          <w:spacing w:val="-1"/>
        </w:rPr>
        <w:t> </w:t>
      </w:r>
      <w:r>
        <w:rPr>
          <w:color w:val="FF0000"/>
        </w:rPr>
        <w:t>Y </w:t>
      </w:r>
      <w:bookmarkEnd w:id="16"/>
      <w:r>
        <w:rPr>
          <w:color w:val="FF0000"/>
          <w:spacing w:val="-2"/>
        </w:rPr>
        <w:t>REVISIÓN</w:t>
      </w:r>
    </w:p>
    <w:p>
      <w:pPr>
        <w:pStyle w:val="BodyText"/>
        <w:rPr>
          <w:sz w:val="26"/>
        </w:rPr>
      </w:pPr>
    </w:p>
    <w:p>
      <w:pPr>
        <w:pStyle w:val="BodyText"/>
        <w:spacing w:before="6"/>
        <w:rPr>
          <w:sz w:val="23"/>
        </w:rPr>
      </w:pPr>
    </w:p>
    <w:p>
      <w:pPr>
        <w:spacing w:line="271" w:lineRule="auto" w:before="1"/>
        <w:ind w:left="963" w:right="859" w:hanging="10"/>
        <w:jc w:val="both"/>
        <w:rPr>
          <w:sz w:val="20"/>
        </w:rPr>
      </w:pPr>
      <w:r>
        <w:rPr>
          <w:sz w:val="20"/>
        </w:rPr>
        <w:t>El proceso de monitoreo y la redacción de informes acerca del desarrollo de la asociación</w:t>
      </w:r>
      <w:r>
        <w:rPr>
          <w:spacing w:val="-2"/>
          <w:sz w:val="20"/>
        </w:rPr>
        <w:t> </w:t>
      </w:r>
      <w:r>
        <w:rPr>
          <w:sz w:val="20"/>
        </w:rPr>
        <w:t>entre partidos es</w:t>
      </w:r>
      <w:r>
        <w:rPr>
          <w:spacing w:val="-1"/>
          <w:sz w:val="20"/>
        </w:rPr>
        <w:t> </w:t>
      </w:r>
      <w:r>
        <w:rPr>
          <w:sz w:val="20"/>
        </w:rPr>
        <w:t>responsabilidad</w:t>
      </w:r>
      <w:r>
        <w:rPr>
          <w:spacing w:val="-2"/>
          <w:sz w:val="20"/>
        </w:rPr>
        <w:t> </w:t>
      </w:r>
      <w:r>
        <w:rPr>
          <w:sz w:val="20"/>
        </w:rPr>
        <w:t>conjunta del</w:t>
      </w:r>
      <w:r>
        <w:rPr>
          <w:spacing w:val="-1"/>
          <w:sz w:val="20"/>
        </w:rPr>
        <w:t> </w:t>
      </w:r>
      <w:r>
        <w:rPr>
          <w:sz w:val="20"/>
        </w:rPr>
        <w:t>EP</w:t>
      </w:r>
      <w:r>
        <w:rPr>
          <w:spacing w:val="-2"/>
          <w:sz w:val="20"/>
        </w:rPr>
        <w:t> </w:t>
      </w:r>
      <w:r>
        <w:rPr>
          <w:sz w:val="20"/>
        </w:rPr>
        <w:t>(</w:t>
      </w:r>
      <w:r>
        <w:rPr>
          <w:i/>
          <w:sz w:val="20"/>
        </w:rPr>
        <w:t>siglas en</w:t>
      </w:r>
      <w:r>
        <w:rPr>
          <w:i/>
          <w:spacing w:val="-1"/>
          <w:sz w:val="20"/>
        </w:rPr>
        <w:t> </w:t>
      </w:r>
      <w:r>
        <w:rPr>
          <w:i/>
          <w:sz w:val="20"/>
        </w:rPr>
        <w:t>inglés para</w:t>
      </w:r>
      <w:r>
        <w:rPr>
          <w:i/>
          <w:sz w:val="20"/>
        </w:rPr>
        <w:t> Socio del Encargo) </w:t>
      </w:r>
      <w:r>
        <w:rPr>
          <w:sz w:val="20"/>
        </w:rPr>
        <w:t>y sus socios.</w:t>
      </w:r>
    </w:p>
    <w:p>
      <w:pPr>
        <w:pStyle w:val="BodyText"/>
        <w:spacing w:line="271" w:lineRule="auto" w:before="123"/>
        <w:ind w:left="963" w:right="864" w:hanging="10"/>
        <w:jc w:val="both"/>
      </w:pPr>
      <w:r>
        <w:rPr/>
        <w:t>DIPD alienta al EP a ser lo más honesto y transparente posible en el M&amp;E y la presentación</w:t>
      </w:r>
      <w:r>
        <w:rPr>
          <w:spacing w:val="-10"/>
        </w:rPr>
        <w:t> </w:t>
      </w:r>
      <w:r>
        <w:rPr/>
        <w:t>de</w:t>
      </w:r>
      <w:r>
        <w:rPr>
          <w:spacing w:val="-12"/>
        </w:rPr>
        <w:t> </w:t>
      </w:r>
      <w:r>
        <w:rPr/>
        <w:t>informes,</w:t>
      </w:r>
      <w:r>
        <w:rPr>
          <w:spacing w:val="-12"/>
        </w:rPr>
        <w:t> </w:t>
      </w:r>
      <w:r>
        <w:rPr/>
        <w:t>y</w:t>
      </w:r>
      <w:r>
        <w:rPr>
          <w:spacing w:val="-11"/>
        </w:rPr>
        <w:t> </w:t>
      </w:r>
      <w:r>
        <w:rPr/>
        <w:t>a</w:t>
      </w:r>
      <w:r>
        <w:rPr>
          <w:spacing w:val="-12"/>
        </w:rPr>
        <w:t> </w:t>
      </w:r>
      <w:r>
        <w:rPr/>
        <w:t>tener</w:t>
      </w:r>
      <w:r>
        <w:rPr>
          <w:spacing w:val="-12"/>
        </w:rPr>
        <w:t> </w:t>
      </w:r>
      <w:r>
        <w:rPr/>
        <w:t>presentes</w:t>
      </w:r>
      <w:r>
        <w:rPr>
          <w:spacing w:val="-11"/>
        </w:rPr>
        <w:t> </w:t>
      </w:r>
      <w:r>
        <w:rPr/>
        <w:t>las</w:t>
      </w:r>
      <w:r>
        <w:rPr>
          <w:spacing w:val="-11"/>
        </w:rPr>
        <w:t> </w:t>
      </w:r>
      <w:r>
        <w:rPr/>
        <w:t>lecciones</w:t>
      </w:r>
      <w:r>
        <w:rPr>
          <w:spacing w:val="-11"/>
        </w:rPr>
        <w:t> </w:t>
      </w:r>
      <w:r>
        <w:rPr/>
        <w:t>aprendidas</w:t>
      </w:r>
      <w:r>
        <w:rPr>
          <w:spacing w:val="-11"/>
        </w:rPr>
        <w:t> </w:t>
      </w:r>
      <w:r>
        <w:rPr/>
        <w:t>y</w:t>
      </w:r>
      <w:r>
        <w:rPr>
          <w:spacing w:val="-11"/>
        </w:rPr>
        <w:t> </w:t>
      </w:r>
      <w:r>
        <w:rPr/>
        <w:t>sobre</w:t>
      </w:r>
      <w:r>
        <w:rPr>
          <w:spacing w:val="-12"/>
        </w:rPr>
        <w:t> </w:t>
      </w:r>
      <w:r>
        <w:rPr/>
        <w:t>todo reflexionar</w:t>
      </w:r>
      <w:r>
        <w:rPr>
          <w:spacing w:val="-6"/>
        </w:rPr>
        <w:t> </w:t>
      </w:r>
      <w:r>
        <w:rPr/>
        <w:t>sobre</w:t>
      </w:r>
      <w:r>
        <w:rPr>
          <w:spacing w:val="-6"/>
        </w:rPr>
        <w:t> </w:t>
      </w:r>
      <w:r>
        <w:rPr/>
        <w:t>cómo</w:t>
      </w:r>
      <w:r>
        <w:rPr>
          <w:spacing w:val="-7"/>
        </w:rPr>
        <w:t> </w:t>
      </w:r>
      <w:r>
        <w:rPr/>
        <w:t>el</w:t>
      </w:r>
      <w:r>
        <w:rPr>
          <w:spacing w:val="-7"/>
        </w:rPr>
        <w:t> </w:t>
      </w:r>
      <w:r>
        <w:rPr/>
        <w:t>partido,</w:t>
      </w:r>
      <w:r>
        <w:rPr>
          <w:spacing w:val="-6"/>
        </w:rPr>
        <w:t> </w:t>
      </w:r>
      <w:r>
        <w:rPr/>
        <w:t>el</w:t>
      </w:r>
      <w:r>
        <w:rPr>
          <w:spacing w:val="-7"/>
        </w:rPr>
        <w:t> </w:t>
      </w:r>
      <w:r>
        <w:rPr/>
        <w:t>socio</w:t>
      </w:r>
      <w:r>
        <w:rPr>
          <w:spacing w:val="-4"/>
        </w:rPr>
        <w:t> </w:t>
      </w:r>
      <w:r>
        <w:rPr/>
        <w:t>o</w:t>
      </w:r>
      <w:r>
        <w:rPr>
          <w:spacing w:val="-7"/>
        </w:rPr>
        <w:t> </w:t>
      </w:r>
      <w:r>
        <w:rPr/>
        <w:t>DIPD</w:t>
      </w:r>
      <w:r>
        <w:rPr>
          <w:spacing w:val="-6"/>
        </w:rPr>
        <w:t> </w:t>
      </w:r>
      <w:r>
        <w:rPr/>
        <w:t>pueden</w:t>
      </w:r>
      <w:r>
        <w:rPr>
          <w:spacing w:val="-4"/>
        </w:rPr>
        <w:t> </w:t>
      </w:r>
      <w:r>
        <w:rPr/>
        <w:t>actuar</w:t>
      </w:r>
      <w:r>
        <w:rPr>
          <w:spacing w:val="-6"/>
        </w:rPr>
        <w:t> </w:t>
      </w:r>
      <w:r>
        <w:rPr/>
        <w:t>con</w:t>
      </w:r>
      <w:r>
        <w:rPr>
          <w:spacing w:val="-7"/>
        </w:rPr>
        <w:t> </w:t>
      </w:r>
      <w:r>
        <w:rPr/>
        <w:t>respecto</w:t>
      </w:r>
      <w:r>
        <w:rPr>
          <w:spacing w:val="-7"/>
        </w:rPr>
        <w:t> </w:t>
      </w:r>
      <w:r>
        <w:rPr/>
        <w:t>a</w:t>
      </w:r>
      <w:r>
        <w:rPr>
          <w:spacing w:val="-5"/>
        </w:rPr>
        <w:t> </w:t>
      </w:r>
      <w:r>
        <w:rPr/>
        <w:t>las lecciones aprendidas.</w:t>
      </w:r>
    </w:p>
    <w:p>
      <w:pPr>
        <w:pStyle w:val="BodyText"/>
        <w:spacing w:line="271" w:lineRule="auto" w:before="122"/>
        <w:ind w:left="963" w:right="863" w:hanging="10"/>
        <w:jc w:val="both"/>
      </w:pPr>
      <w:r>
        <w:rPr/>
        <w:t>El EP debe entregar los informes y las cuentas anuales auditadas de acuerdo con el siguiente plan de presentación de informes:</w:t>
      </w:r>
    </w:p>
    <w:p>
      <w:pPr>
        <w:pStyle w:val="BodyText"/>
      </w:pPr>
    </w:p>
    <w:p>
      <w:pPr>
        <w:pStyle w:val="BodyText"/>
        <w:spacing w:before="3" w:after="1"/>
        <w:rPr>
          <w:sz w:val="13"/>
        </w:rPr>
      </w:pPr>
    </w:p>
    <w:tbl>
      <w:tblPr>
        <w:tblW w:w="0" w:type="auto"/>
        <w:jc w:val="left"/>
        <w:tblInd w:w="99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401"/>
        <w:gridCol w:w="2134"/>
        <w:gridCol w:w="2415"/>
      </w:tblGrid>
      <w:tr>
        <w:trPr>
          <w:trHeight w:val="760" w:hRule="atLeast"/>
        </w:trPr>
        <w:tc>
          <w:tcPr>
            <w:tcW w:w="2401" w:type="dxa"/>
          </w:tcPr>
          <w:p>
            <w:pPr>
              <w:pStyle w:val="TableParagraph"/>
              <w:spacing w:before="16"/>
              <w:ind w:left="107"/>
              <w:rPr>
                <w:b/>
                <w:sz w:val="20"/>
              </w:rPr>
            </w:pPr>
            <w:r>
              <w:rPr>
                <w:b/>
                <w:sz w:val="20"/>
              </w:rPr>
              <w:t>Período</w:t>
            </w:r>
            <w:r>
              <w:rPr>
                <w:b/>
                <w:spacing w:val="-5"/>
                <w:sz w:val="20"/>
              </w:rPr>
              <w:t> </w:t>
            </w:r>
            <w:r>
              <w:rPr>
                <w:b/>
                <w:sz w:val="20"/>
              </w:rPr>
              <w:t>de</w:t>
            </w:r>
            <w:r>
              <w:rPr>
                <w:b/>
                <w:spacing w:val="-6"/>
                <w:sz w:val="20"/>
              </w:rPr>
              <w:t> </w:t>
            </w:r>
            <w:r>
              <w:rPr>
                <w:b/>
                <w:spacing w:val="-2"/>
                <w:sz w:val="20"/>
              </w:rPr>
              <w:t>informes</w:t>
            </w:r>
          </w:p>
        </w:tc>
        <w:tc>
          <w:tcPr>
            <w:tcW w:w="2134" w:type="dxa"/>
          </w:tcPr>
          <w:p>
            <w:pPr>
              <w:pStyle w:val="TableParagraph"/>
              <w:spacing w:before="16"/>
              <w:ind w:left="107"/>
              <w:rPr>
                <w:b/>
                <w:sz w:val="20"/>
              </w:rPr>
            </w:pPr>
            <w:r>
              <w:rPr>
                <w:b/>
                <w:sz w:val="20"/>
              </w:rPr>
              <w:t>Fecha</w:t>
            </w:r>
            <w:r>
              <w:rPr>
                <w:b/>
                <w:spacing w:val="-9"/>
                <w:sz w:val="20"/>
              </w:rPr>
              <w:t> </w:t>
            </w:r>
            <w:r>
              <w:rPr>
                <w:b/>
                <w:sz w:val="20"/>
              </w:rPr>
              <w:t>límite</w:t>
            </w:r>
            <w:r>
              <w:rPr>
                <w:b/>
                <w:spacing w:val="-7"/>
                <w:sz w:val="20"/>
              </w:rPr>
              <w:t> </w:t>
            </w:r>
            <w:r>
              <w:rPr>
                <w:b/>
                <w:spacing w:val="-5"/>
                <w:sz w:val="20"/>
              </w:rPr>
              <w:t>de</w:t>
            </w:r>
          </w:p>
          <w:p>
            <w:pPr>
              <w:pStyle w:val="TableParagraph"/>
              <w:spacing w:line="240" w:lineRule="atLeast" w:before="9"/>
              <w:ind w:left="107" w:right="467"/>
              <w:rPr>
                <w:b/>
                <w:sz w:val="20"/>
              </w:rPr>
            </w:pPr>
            <w:r>
              <w:rPr>
                <w:b/>
                <w:sz w:val="20"/>
              </w:rPr>
              <w:t>presentación</w:t>
            </w:r>
            <w:r>
              <w:rPr>
                <w:b/>
                <w:spacing w:val="-14"/>
                <w:sz w:val="20"/>
              </w:rPr>
              <w:t> </w:t>
            </w:r>
            <w:r>
              <w:rPr>
                <w:b/>
                <w:sz w:val="20"/>
              </w:rPr>
              <w:t>de </w:t>
            </w:r>
            <w:r>
              <w:rPr>
                <w:b/>
                <w:spacing w:val="-2"/>
                <w:sz w:val="20"/>
              </w:rPr>
              <w:t>informes</w:t>
            </w:r>
          </w:p>
        </w:tc>
        <w:tc>
          <w:tcPr>
            <w:tcW w:w="2415" w:type="dxa"/>
          </w:tcPr>
          <w:p>
            <w:pPr>
              <w:pStyle w:val="TableParagraph"/>
              <w:spacing w:before="16"/>
              <w:ind w:left="107"/>
              <w:rPr>
                <w:b/>
                <w:sz w:val="20"/>
              </w:rPr>
            </w:pPr>
            <w:r>
              <w:rPr>
                <w:b/>
                <w:spacing w:val="-2"/>
                <w:sz w:val="20"/>
              </w:rPr>
              <w:t>Informes</w:t>
            </w:r>
          </w:p>
        </w:tc>
      </w:tr>
      <w:tr>
        <w:trPr>
          <w:trHeight w:val="899" w:hRule="atLeast"/>
        </w:trPr>
        <w:tc>
          <w:tcPr>
            <w:tcW w:w="2401" w:type="dxa"/>
          </w:tcPr>
          <w:p>
            <w:pPr>
              <w:pStyle w:val="TableParagraph"/>
              <w:spacing w:before="18"/>
              <w:ind w:left="107"/>
              <w:rPr>
                <w:sz w:val="20"/>
              </w:rPr>
            </w:pPr>
            <w:r>
              <w:rPr>
                <w:w w:val="95"/>
                <w:sz w:val="20"/>
              </w:rPr>
              <w:t>01.07.2021-</w:t>
            </w:r>
            <w:r>
              <w:rPr>
                <w:spacing w:val="-2"/>
                <w:sz w:val="20"/>
              </w:rPr>
              <w:t>31.12.2022</w:t>
            </w:r>
          </w:p>
        </w:tc>
        <w:tc>
          <w:tcPr>
            <w:tcW w:w="2134" w:type="dxa"/>
          </w:tcPr>
          <w:p>
            <w:pPr>
              <w:pStyle w:val="TableParagraph"/>
              <w:spacing w:before="18"/>
              <w:ind w:left="107"/>
              <w:rPr>
                <w:sz w:val="20"/>
              </w:rPr>
            </w:pPr>
            <w:r>
              <w:rPr>
                <w:spacing w:val="-2"/>
                <w:sz w:val="20"/>
              </w:rPr>
              <w:t>31.03.2023</w:t>
            </w:r>
          </w:p>
        </w:tc>
        <w:tc>
          <w:tcPr>
            <w:tcW w:w="2415" w:type="dxa"/>
          </w:tcPr>
          <w:p>
            <w:pPr>
              <w:pStyle w:val="TableParagraph"/>
              <w:spacing w:before="18"/>
              <w:ind w:left="107"/>
              <w:rPr>
                <w:sz w:val="20"/>
              </w:rPr>
            </w:pPr>
            <w:r>
              <w:rPr>
                <w:sz w:val="20"/>
              </w:rPr>
              <w:t>Informe</w:t>
            </w:r>
            <w:r>
              <w:rPr>
                <w:spacing w:val="-9"/>
                <w:sz w:val="20"/>
              </w:rPr>
              <w:t> </w:t>
            </w:r>
            <w:r>
              <w:rPr>
                <w:spacing w:val="-2"/>
                <w:sz w:val="20"/>
              </w:rPr>
              <w:t>Narrativo</w:t>
            </w:r>
          </w:p>
          <w:p>
            <w:pPr>
              <w:pStyle w:val="TableParagraph"/>
              <w:spacing w:line="250" w:lineRule="atLeast" w:before="131"/>
              <w:ind w:left="107" w:right="780"/>
              <w:rPr>
                <w:sz w:val="20"/>
              </w:rPr>
            </w:pPr>
            <w:r>
              <w:rPr>
                <w:sz w:val="20"/>
              </w:rPr>
              <w:t>Cuentas</w:t>
            </w:r>
            <w:r>
              <w:rPr>
                <w:spacing w:val="-14"/>
                <w:sz w:val="20"/>
              </w:rPr>
              <w:t> </w:t>
            </w:r>
            <w:r>
              <w:rPr>
                <w:sz w:val="20"/>
              </w:rPr>
              <w:t>anuales </w:t>
            </w:r>
            <w:r>
              <w:rPr>
                <w:spacing w:val="-2"/>
                <w:sz w:val="20"/>
              </w:rPr>
              <w:t>auditadas</w:t>
            </w:r>
          </w:p>
        </w:tc>
      </w:tr>
      <w:tr>
        <w:trPr>
          <w:trHeight w:val="901" w:hRule="atLeast"/>
        </w:trPr>
        <w:tc>
          <w:tcPr>
            <w:tcW w:w="2401" w:type="dxa"/>
          </w:tcPr>
          <w:p>
            <w:pPr>
              <w:pStyle w:val="TableParagraph"/>
              <w:spacing w:before="18"/>
              <w:ind w:left="107"/>
              <w:rPr>
                <w:sz w:val="20"/>
              </w:rPr>
            </w:pPr>
            <w:r>
              <w:rPr>
                <w:w w:val="95"/>
                <w:sz w:val="20"/>
              </w:rPr>
              <w:t>01.01.2023-</w:t>
            </w:r>
            <w:r>
              <w:rPr>
                <w:spacing w:val="-2"/>
                <w:sz w:val="20"/>
              </w:rPr>
              <w:t>31.12.2023</w:t>
            </w:r>
          </w:p>
        </w:tc>
        <w:tc>
          <w:tcPr>
            <w:tcW w:w="2134" w:type="dxa"/>
          </w:tcPr>
          <w:p>
            <w:pPr>
              <w:pStyle w:val="TableParagraph"/>
              <w:spacing w:before="18"/>
              <w:ind w:left="107"/>
              <w:rPr>
                <w:sz w:val="20"/>
              </w:rPr>
            </w:pPr>
            <w:r>
              <w:rPr>
                <w:spacing w:val="-2"/>
                <w:sz w:val="20"/>
              </w:rPr>
              <w:t>31.03.2024</w:t>
            </w:r>
          </w:p>
        </w:tc>
        <w:tc>
          <w:tcPr>
            <w:tcW w:w="2415" w:type="dxa"/>
          </w:tcPr>
          <w:p>
            <w:pPr>
              <w:pStyle w:val="TableParagraph"/>
              <w:spacing w:before="18"/>
              <w:ind w:left="107"/>
              <w:rPr>
                <w:sz w:val="20"/>
              </w:rPr>
            </w:pPr>
            <w:r>
              <w:rPr>
                <w:sz w:val="20"/>
              </w:rPr>
              <w:t>Informe</w:t>
            </w:r>
            <w:r>
              <w:rPr>
                <w:spacing w:val="-9"/>
                <w:sz w:val="20"/>
              </w:rPr>
              <w:t> </w:t>
            </w:r>
            <w:r>
              <w:rPr>
                <w:spacing w:val="-2"/>
                <w:sz w:val="20"/>
              </w:rPr>
              <w:t>narrativo</w:t>
            </w:r>
          </w:p>
          <w:p>
            <w:pPr>
              <w:pStyle w:val="TableParagraph"/>
              <w:spacing w:line="240" w:lineRule="atLeast" w:before="147"/>
              <w:ind w:left="107" w:right="780"/>
              <w:rPr>
                <w:sz w:val="20"/>
              </w:rPr>
            </w:pPr>
            <w:r>
              <w:rPr>
                <w:sz w:val="20"/>
              </w:rPr>
              <w:t>Cuentas</w:t>
            </w:r>
            <w:r>
              <w:rPr>
                <w:spacing w:val="-14"/>
                <w:sz w:val="20"/>
              </w:rPr>
              <w:t> </w:t>
            </w:r>
            <w:r>
              <w:rPr>
                <w:sz w:val="20"/>
              </w:rPr>
              <w:t>anuales </w:t>
            </w:r>
            <w:r>
              <w:rPr>
                <w:spacing w:val="-2"/>
                <w:sz w:val="20"/>
              </w:rPr>
              <w:t>auditadas</w:t>
            </w:r>
          </w:p>
        </w:tc>
      </w:tr>
      <w:tr>
        <w:trPr>
          <w:trHeight w:val="899" w:hRule="atLeast"/>
        </w:trPr>
        <w:tc>
          <w:tcPr>
            <w:tcW w:w="2401" w:type="dxa"/>
          </w:tcPr>
          <w:p>
            <w:pPr>
              <w:pStyle w:val="TableParagraph"/>
              <w:spacing w:before="16"/>
              <w:ind w:left="107"/>
              <w:rPr>
                <w:sz w:val="20"/>
              </w:rPr>
            </w:pPr>
            <w:r>
              <w:rPr>
                <w:w w:val="95"/>
                <w:sz w:val="20"/>
              </w:rPr>
              <w:t>01.01.2024-</w:t>
            </w:r>
            <w:r>
              <w:rPr>
                <w:spacing w:val="-2"/>
                <w:sz w:val="20"/>
              </w:rPr>
              <w:t>31.12.2024</w:t>
            </w:r>
          </w:p>
        </w:tc>
        <w:tc>
          <w:tcPr>
            <w:tcW w:w="2134" w:type="dxa"/>
          </w:tcPr>
          <w:p>
            <w:pPr>
              <w:pStyle w:val="TableParagraph"/>
              <w:spacing w:before="16"/>
              <w:ind w:left="107"/>
              <w:rPr>
                <w:sz w:val="20"/>
              </w:rPr>
            </w:pPr>
            <w:r>
              <w:rPr>
                <w:spacing w:val="-2"/>
                <w:sz w:val="20"/>
              </w:rPr>
              <w:t>31.03.2025</w:t>
            </w:r>
          </w:p>
        </w:tc>
        <w:tc>
          <w:tcPr>
            <w:tcW w:w="2415" w:type="dxa"/>
          </w:tcPr>
          <w:p>
            <w:pPr>
              <w:pStyle w:val="TableParagraph"/>
              <w:spacing w:before="16"/>
              <w:ind w:left="107"/>
              <w:rPr>
                <w:sz w:val="20"/>
              </w:rPr>
            </w:pPr>
            <w:r>
              <w:rPr>
                <w:sz w:val="20"/>
              </w:rPr>
              <w:t>Informe</w:t>
            </w:r>
            <w:r>
              <w:rPr>
                <w:spacing w:val="-9"/>
                <w:sz w:val="20"/>
              </w:rPr>
              <w:t> </w:t>
            </w:r>
            <w:r>
              <w:rPr>
                <w:spacing w:val="-2"/>
                <w:sz w:val="20"/>
              </w:rPr>
              <w:t>narrativo</w:t>
            </w:r>
          </w:p>
          <w:p>
            <w:pPr>
              <w:pStyle w:val="TableParagraph"/>
              <w:spacing w:line="240" w:lineRule="atLeast" w:before="149"/>
              <w:ind w:left="107" w:right="780"/>
              <w:rPr>
                <w:sz w:val="20"/>
              </w:rPr>
            </w:pPr>
            <w:r>
              <w:rPr>
                <w:sz w:val="20"/>
              </w:rPr>
              <w:t>Cuentas</w:t>
            </w:r>
            <w:r>
              <w:rPr>
                <w:spacing w:val="-14"/>
                <w:sz w:val="20"/>
              </w:rPr>
              <w:t> </w:t>
            </w:r>
            <w:r>
              <w:rPr>
                <w:sz w:val="20"/>
              </w:rPr>
              <w:t>anuales </w:t>
            </w:r>
            <w:r>
              <w:rPr>
                <w:spacing w:val="-2"/>
                <w:sz w:val="20"/>
              </w:rPr>
              <w:t>auditadas</w:t>
            </w:r>
          </w:p>
        </w:tc>
      </w:tr>
      <w:tr>
        <w:trPr>
          <w:trHeight w:val="808" w:hRule="atLeast"/>
        </w:trPr>
        <w:tc>
          <w:tcPr>
            <w:tcW w:w="2401" w:type="dxa"/>
          </w:tcPr>
          <w:p>
            <w:pPr>
              <w:pStyle w:val="TableParagraph"/>
              <w:spacing w:before="19"/>
              <w:ind w:left="107"/>
              <w:rPr>
                <w:sz w:val="20"/>
              </w:rPr>
            </w:pPr>
            <w:r>
              <w:rPr>
                <w:w w:val="95"/>
                <w:sz w:val="20"/>
              </w:rPr>
              <w:t>01.07.2021-</w:t>
            </w:r>
            <w:r>
              <w:rPr>
                <w:spacing w:val="-2"/>
                <w:sz w:val="20"/>
              </w:rPr>
              <w:t>31.12.2025</w:t>
            </w:r>
          </w:p>
        </w:tc>
        <w:tc>
          <w:tcPr>
            <w:tcW w:w="2134" w:type="dxa"/>
          </w:tcPr>
          <w:p>
            <w:pPr>
              <w:pStyle w:val="TableParagraph"/>
              <w:spacing w:before="19"/>
              <w:ind w:left="107"/>
              <w:rPr>
                <w:sz w:val="20"/>
              </w:rPr>
            </w:pPr>
            <w:r>
              <w:rPr>
                <w:spacing w:val="-2"/>
                <w:sz w:val="20"/>
              </w:rPr>
              <w:t>31.03.2026</w:t>
            </w:r>
          </w:p>
        </w:tc>
        <w:tc>
          <w:tcPr>
            <w:tcW w:w="2415" w:type="dxa"/>
          </w:tcPr>
          <w:p>
            <w:pPr>
              <w:pStyle w:val="TableParagraph"/>
              <w:spacing w:line="400" w:lineRule="auto" w:before="19"/>
              <w:ind w:left="107" w:right="-15"/>
              <w:rPr>
                <w:sz w:val="20"/>
              </w:rPr>
            </w:pPr>
            <w:r>
              <w:rPr>
                <w:sz w:val="20"/>
              </w:rPr>
              <w:t>Informe narrative final Cuentas</w:t>
            </w:r>
            <w:r>
              <w:rPr>
                <w:spacing w:val="-14"/>
                <w:sz w:val="20"/>
              </w:rPr>
              <w:t> </w:t>
            </w:r>
            <w:r>
              <w:rPr>
                <w:sz w:val="20"/>
              </w:rPr>
              <w:t>auditadas</w:t>
            </w:r>
            <w:r>
              <w:rPr>
                <w:spacing w:val="-14"/>
                <w:sz w:val="20"/>
              </w:rPr>
              <w:t> </w:t>
            </w:r>
            <w:r>
              <w:rPr>
                <w:sz w:val="20"/>
              </w:rPr>
              <w:t>finales</w:t>
            </w:r>
          </w:p>
        </w:tc>
      </w:tr>
    </w:tbl>
    <w:p>
      <w:pPr>
        <w:pStyle w:val="BodyText"/>
        <w:rPr>
          <w:sz w:val="26"/>
        </w:rPr>
      </w:pPr>
    </w:p>
    <w:p>
      <w:pPr>
        <w:pStyle w:val="Heading3"/>
        <w:numPr>
          <w:ilvl w:val="2"/>
          <w:numId w:val="4"/>
        </w:numPr>
        <w:tabs>
          <w:tab w:pos="714" w:val="left" w:leader="none"/>
        </w:tabs>
        <w:spacing w:line="240" w:lineRule="auto" w:before="93" w:after="0"/>
        <w:ind w:left="714" w:right="0" w:hanging="612"/>
        <w:jc w:val="left"/>
      </w:pPr>
      <w:r>
        <w:rPr>
          <w:color w:val="FF0000"/>
        </w:rPr>
        <w:t>REVISIONES,</w:t>
      </w:r>
      <w:r>
        <w:rPr>
          <w:color w:val="FF0000"/>
          <w:spacing w:val="-9"/>
        </w:rPr>
        <w:t> </w:t>
      </w:r>
      <w:r>
        <w:rPr>
          <w:color w:val="FF0000"/>
        </w:rPr>
        <w:t>EVALUACIONES</w:t>
      </w:r>
      <w:r>
        <w:rPr>
          <w:color w:val="FF0000"/>
          <w:spacing w:val="-7"/>
        </w:rPr>
        <w:t> </w:t>
      </w:r>
      <w:r>
        <w:rPr>
          <w:color w:val="FF0000"/>
        </w:rPr>
        <w:t>Y</w:t>
      </w:r>
      <w:r>
        <w:rPr>
          <w:color w:val="FF0000"/>
          <w:spacing w:val="-7"/>
        </w:rPr>
        <w:t> </w:t>
      </w:r>
      <w:r>
        <w:rPr>
          <w:color w:val="FF0000"/>
        </w:rPr>
        <w:t>EJERCICIOS</w:t>
      </w:r>
      <w:r>
        <w:rPr>
          <w:color w:val="FF0000"/>
          <w:spacing w:val="-7"/>
        </w:rPr>
        <w:t> </w:t>
      </w:r>
      <w:r>
        <w:rPr>
          <w:color w:val="FF0000"/>
        </w:rPr>
        <w:t>DE</w:t>
      </w:r>
      <w:r>
        <w:rPr>
          <w:color w:val="FF0000"/>
          <w:spacing w:val="-7"/>
        </w:rPr>
        <w:t> </w:t>
      </w:r>
      <w:r>
        <w:rPr>
          <w:color w:val="FF0000"/>
          <w:spacing w:val="-2"/>
        </w:rPr>
        <w:t>APRENDIZAJE</w:t>
      </w:r>
    </w:p>
    <w:p>
      <w:pPr>
        <w:pStyle w:val="BodyText"/>
        <w:rPr>
          <w:sz w:val="22"/>
        </w:rPr>
      </w:pPr>
    </w:p>
    <w:p>
      <w:pPr>
        <w:pStyle w:val="BodyText"/>
        <w:spacing w:before="4"/>
        <w:rPr>
          <w:sz w:val="25"/>
        </w:rPr>
      </w:pPr>
    </w:p>
    <w:p>
      <w:pPr>
        <w:pStyle w:val="BodyText"/>
        <w:spacing w:line="271" w:lineRule="auto"/>
        <w:ind w:left="963" w:right="861" w:hanging="10"/>
        <w:jc w:val="both"/>
      </w:pPr>
      <w:r>
        <w:rPr/>
        <w:t>Los</w:t>
      </w:r>
      <w:r>
        <w:rPr>
          <w:spacing w:val="-6"/>
        </w:rPr>
        <w:t> </w:t>
      </w:r>
      <w:r>
        <w:rPr/>
        <w:t>ejercicios</w:t>
      </w:r>
      <w:r>
        <w:rPr>
          <w:spacing w:val="-7"/>
        </w:rPr>
        <w:t> </w:t>
      </w:r>
      <w:r>
        <w:rPr/>
        <w:t>de</w:t>
      </w:r>
      <w:r>
        <w:rPr>
          <w:spacing w:val="-8"/>
        </w:rPr>
        <w:t> </w:t>
      </w:r>
      <w:r>
        <w:rPr/>
        <w:t>aprendizaje,</w:t>
      </w:r>
      <w:r>
        <w:rPr>
          <w:spacing w:val="-8"/>
        </w:rPr>
        <w:t> </w:t>
      </w:r>
      <w:r>
        <w:rPr/>
        <w:t>las</w:t>
      </w:r>
      <w:r>
        <w:rPr>
          <w:spacing w:val="-7"/>
        </w:rPr>
        <w:t> </w:t>
      </w:r>
      <w:r>
        <w:rPr/>
        <w:t>evaluaciones</w:t>
      </w:r>
      <w:r>
        <w:rPr>
          <w:spacing w:val="-6"/>
        </w:rPr>
        <w:t> </w:t>
      </w:r>
      <w:r>
        <w:rPr/>
        <w:t>o</w:t>
      </w:r>
      <w:r>
        <w:rPr>
          <w:spacing w:val="-8"/>
        </w:rPr>
        <w:t> </w:t>
      </w:r>
      <w:r>
        <w:rPr/>
        <w:t>las</w:t>
      </w:r>
      <w:r>
        <w:rPr>
          <w:spacing w:val="-2"/>
        </w:rPr>
        <w:t> </w:t>
      </w:r>
      <w:r>
        <w:rPr/>
        <w:t>revisiones</w:t>
      </w:r>
      <w:r>
        <w:rPr>
          <w:spacing w:val="-7"/>
        </w:rPr>
        <w:t> </w:t>
      </w:r>
      <w:r>
        <w:rPr/>
        <w:t>pueden</w:t>
      </w:r>
      <w:r>
        <w:rPr>
          <w:spacing w:val="-8"/>
        </w:rPr>
        <w:t> </w:t>
      </w:r>
      <w:r>
        <w:rPr/>
        <w:t>ser</w:t>
      </w:r>
      <w:r>
        <w:rPr>
          <w:spacing w:val="-7"/>
        </w:rPr>
        <w:t> </w:t>
      </w:r>
      <w:r>
        <w:rPr/>
        <w:t>internos o</w:t>
      </w:r>
      <w:r>
        <w:rPr>
          <w:spacing w:val="-14"/>
        </w:rPr>
        <w:t> </w:t>
      </w:r>
      <w:r>
        <w:rPr/>
        <w:t>externos</w:t>
      </w:r>
      <w:r>
        <w:rPr>
          <w:spacing w:val="-13"/>
        </w:rPr>
        <w:t> </w:t>
      </w:r>
      <w:r>
        <w:rPr/>
        <w:t>y</w:t>
      </w:r>
      <w:r>
        <w:rPr>
          <w:spacing w:val="-12"/>
        </w:rPr>
        <w:t> </w:t>
      </w:r>
      <w:r>
        <w:rPr/>
        <w:t>se</w:t>
      </w:r>
      <w:r>
        <w:rPr>
          <w:spacing w:val="-12"/>
        </w:rPr>
        <w:t> </w:t>
      </w:r>
      <w:r>
        <w:rPr/>
        <w:t>utilizan</w:t>
      </w:r>
      <w:r>
        <w:rPr>
          <w:spacing w:val="-14"/>
        </w:rPr>
        <w:t> </w:t>
      </w:r>
      <w:r>
        <w:rPr/>
        <w:t>para</w:t>
      </w:r>
      <w:r>
        <w:rPr>
          <w:spacing w:val="-12"/>
        </w:rPr>
        <w:t> </w:t>
      </w:r>
      <w:r>
        <w:rPr/>
        <w:t>hacer</w:t>
      </w:r>
      <w:r>
        <w:rPr>
          <w:spacing w:val="-13"/>
        </w:rPr>
        <w:t> </w:t>
      </w:r>
      <w:r>
        <w:rPr/>
        <w:t>un</w:t>
      </w:r>
      <w:r>
        <w:rPr>
          <w:spacing w:val="-12"/>
        </w:rPr>
        <w:t> </w:t>
      </w:r>
      <w:r>
        <w:rPr/>
        <w:t>balance</w:t>
      </w:r>
      <w:r>
        <w:rPr>
          <w:spacing w:val="-12"/>
        </w:rPr>
        <w:t> </w:t>
      </w:r>
      <w:r>
        <w:rPr/>
        <w:t>en</w:t>
      </w:r>
      <w:r>
        <w:rPr>
          <w:spacing w:val="-12"/>
        </w:rPr>
        <w:t> </w:t>
      </w:r>
      <w:r>
        <w:rPr/>
        <w:t>un</w:t>
      </w:r>
      <w:r>
        <w:rPr>
          <w:spacing w:val="-12"/>
        </w:rPr>
        <w:t> </w:t>
      </w:r>
      <w:r>
        <w:rPr/>
        <w:t>momento</w:t>
      </w:r>
      <w:r>
        <w:rPr>
          <w:spacing w:val="-14"/>
        </w:rPr>
        <w:t> </w:t>
      </w:r>
      <w:r>
        <w:rPr/>
        <w:t>determinado</w:t>
      </w:r>
      <w:r>
        <w:rPr>
          <w:spacing w:val="-12"/>
        </w:rPr>
        <w:t> </w:t>
      </w:r>
      <w:r>
        <w:rPr/>
        <w:t>de</w:t>
      </w:r>
      <w:r>
        <w:rPr>
          <w:spacing w:val="-14"/>
        </w:rPr>
        <w:t> </w:t>
      </w:r>
      <w:r>
        <w:rPr/>
        <w:t>cómo está progresando la asociación entre partidos. Los ejercicios de aprendizaje, evaluaciones o revisiones tienen como objetivo fortalecer el</w:t>
      </w:r>
      <w:r>
        <w:rPr>
          <w:spacing w:val="-1"/>
        </w:rPr>
        <w:t> </w:t>
      </w:r>
      <w:r>
        <w:rPr/>
        <w:t>aprendizaje continuo y el desarrollo de métodos dentro de las metas estratégicas de DIPD y las áreas esfuerzo en los partidos políticos, socios y DIPD.</w:t>
      </w:r>
    </w:p>
    <w:p>
      <w:pPr>
        <w:spacing w:line="271" w:lineRule="auto" w:before="119"/>
        <w:ind w:left="963" w:right="861" w:hanging="10"/>
        <w:jc w:val="both"/>
        <w:rPr>
          <w:sz w:val="20"/>
        </w:rPr>
      </w:pPr>
      <w:r>
        <w:rPr/>
        <w:pict>
          <v:line style="position:absolute;mso-position-horizontal-relative:page;mso-position-vertical-relative:paragraph;z-index:15741440" from="345.899994pt,75.769882pt" to="483.549994pt,75.769882pt" stroked="true" strokeweight=".96pt" strokecolor="#000000">
            <v:stroke dashstyle="shortdot"/>
            <w10:wrap type="none"/>
          </v:line>
        </w:pict>
      </w:r>
      <w:r>
        <w:rPr>
          <w:sz w:val="20"/>
        </w:rPr>
        <w:t>El partido político que ingresa a un FA </w:t>
      </w:r>
      <w:r>
        <w:rPr>
          <w:i/>
          <w:sz w:val="20"/>
        </w:rPr>
        <w:t>(siglas en inglés para Acuerdo Marco) </w:t>
      </w:r>
      <w:r>
        <w:rPr>
          <w:sz w:val="20"/>
        </w:rPr>
        <w:t>está obligado</w:t>
      </w:r>
      <w:r>
        <w:rPr>
          <w:spacing w:val="-12"/>
          <w:sz w:val="20"/>
        </w:rPr>
        <w:t> </w:t>
      </w:r>
      <w:r>
        <w:rPr>
          <w:sz w:val="20"/>
        </w:rPr>
        <w:t>a</w:t>
      </w:r>
      <w:r>
        <w:rPr>
          <w:spacing w:val="-12"/>
          <w:sz w:val="20"/>
        </w:rPr>
        <w:t> </w:t>
      </w:r>
      <w:r>
        <w:rPr>
          <w:sz w:val="20"/>
        </w:rPr>
        <w:t>participar</w:t>
      </w:r>
      <w:r>
        <w:rPr>
          <w:spacing w:val="-10"/>
          <w:sz w:val="20"/>
        </w:rPr>
        <w:t> </w:t>
      </w:r>
      <w:r>
        <w:rPr>
          <w:sz w:val="20"/>
        </w:rPr>
        <w:t>en</w:t>
      </w:r>
      <w:r>
        <w:rPr>
          <w:spacing w:val="-12"/>
          <w:sz w:val="20"/>
        </w:rPr>
        <w:t> </w:t>
      </w:r>
      <w:r>
        <w:rPr>
          <w:sz w:val="20"/>
        </w:rPr>
        <w:t>cualquier</w:t>
      </w:r>
      <w:r>
        <w:rPr>
          <w:spacing w:val="-11"/>
          <w:sz w:val="20"/>
        </w:rPr>
        <w:t> </w:t>
      </w:r>
      <w:r>
        <w:rPr>
          <w:sz w:val="20"/>
        </w:rPr>
        <w:t>ejercicio</w:t>
      </w:r>
      <w:r>
        <w:rPr>
          <w:spacing w:val="-12"/>
          <w:sz w:val="20"/>
        </w:rPr>
        <w:t> </w:t>
      </w:r>
      <w:r>
        <w:rPr>
          <w:sz w:val="20"/>
        </w:rPr>
        <w:t>de</w:t>
      </w:r>
      <w:r>
        <w:rPr>
          <w:spacing w:val="-12"/>
          <w:sz w:val="20"/>
        </w:rPr>
        <w:t> </w:t>
      </w:r>
      <w:r>
        <w:rPr>
          <w:sz w:val="20"/>
        </w:rPr>
        <w:t>aprendizaje,</w:t>
      </w:r>
      <w:r>
        <w:rPr>
          <w:spacing w:val="-12"/>
          <w:sz w:val="20"/>
        </w:rPr>
        <w:t> </w:t>
      </w:r>
      <w:r>
        <w:rPr>
          <w:sz w:val="20"/>
        </w:rPr>
        <w:t>evaluación</w:t>
      </w:r>
      <w:r>
        <w:rPr>
          <w:spacing w:val="-12"/>
          <w:sz w:val="20"/>
        </w:rPr>
        <w:t> </w:t>
      </w:r>
      <w:r>
        <w:rPr>
          <w:sz w:val="20"/>
        </w:rPr>
        <w:t>o</w:t>
      </w:r>
      <w:r>
        <w:rPr>
          <w:spacing w:val="-12"/>
          <w:sz w:val="20"/>
        </w:rPr>
        <w:t> </w:t>
      </w:r>
      <w:r>
        <w:rPr>
          <w:sz w:val="20"/>
        </w:rPr>
        <w:t>revisión</w:t>
      </w:r>
      <w:r>
        <w:rPr>
          <w:spacing w:val="-12"/>
          <w:sz w:val="20"/>
        </w:rPr>
        <w:t> </w:t>
      </w:r>
      <w:r>
        <w:rPr>
          <w:sz w:val="20"/>
        </w:rPr>
        <w:t>que</w:t>
      </w:r>
    </w:p>
    <w:p>
      <w:pPr>
        <w:spacing w:after="0" w:line="271" w:lineRule="auto"/>
        <w:jc w:val="both"/>
        <w:rPr>
          <w:sz w:val="20"/>
        </w:rPr>
        <w:sectPr>
          <w:headerReference w:type="default" r:id="rId33"/>
          <w:footerReference w:type="default" r:id="rId34"/>
          <w:pgSz w:w="11910" w:h="16850"/>
          <w:pgMar w:header="718" w:footer="843" w:top="940" w:bottom="1040" w:left="1300" w:right="1400"/>
        </w:sectPr>
      </w:pPr>
    </w:p>
    <w:p>
      <w:pPr>
        <w:pStyle w:val="BodyText"/>
      </w:pPr>
    </w:p>
    <w:p>
      <w:pPr>
        <w:pStyle w:val="BodyText"/>
      </w:pPr>
    </w:p>
    <w:p>
      <w:pPr>
        <w:pStyle w:val="BodyText"/>
        <w:spacing w:before="2"/>
        <w:rPr>
          <w:sz w:val="21"/>
        </w:rPr>
      </w:pPr>
    </w:p>
    <w:p>
      <w:pPr>
        <w:pStyle w:val="BodyText"/>
        <w:spacing w:line="271" w:lineRule="auto" w:before="93"/>
        <w:ind w:left="963" w:right="812"/>
      </w:pPr>
      <w:r>
        <w:rPr/>
        <w:t>DIPD</w:t>
      </w:r>
      <w:r>
        <w:rPr>
          <w:spacing w:val="-2"/>
        </w:rPr>
        <w:t> </w:t>
      </w:r>
      <w:r>
        <w:rPr/>
        <w:t>o</w:t>
      </w:r>
      <w:r>
        <w:rPr>
          <w:spacing w:val="-4"/>
        </w:rPr>
        <w:t> </w:t>
      </w:r>
      <w:r>
        <w:rPr/>
        <w:t>el</w:t>
      </w:r>
      <w:r>
        <w:rPr>
          <w:spacing w:val="-5"/>
        </w:rPr>
        <w:t> </w:t>
      </w:r>
      <w:r>
        <w:rPr/>
        <w:t>Ministerio</w:t>
      </w:r>
      <w:r>
        <w:rPr>
          <w:spacing w:val="-4"/>
        </w:rPr>
        <w:t> </w:t>
      </w:r>
      <w:r>
        <w:rPr/>
        <w:t>de</w:t>
      </w:r>
      <w:r>
        <w:rPr>
          <w:spacing w:val="-1"/>
        </w:rPr>
        <w:t> </w:t>
      </w:r>
      <w:r>
        <w:rPr/>
        <w:t>Asuntos</w:t>
      </w:r>
      <w:r>
        <w:rPr>
          <w:spacing w:val="-3"/>
        </w:rPr>
        <w:t> </w:t>
      </w:r>
      <w:r>
        <w:rPr/>
        <w:t>Exteriores</w:t>
      </w:r>
      <w:r>
        <w:rPr>
          <w:spacing w:val="-4"/>
        </w:rPr>
        <w:t> </w:t>
      </w:r>
      <w:r>
        <w:rPr/>
        <w:t>de</w:t>
      </w:r>
      <w:r>
        <w:rPr>
          <w:spacing w:val="-4"/>
        </w:rPr>
        <w:t> </w:t>
      </w:r>
      <w:r>
        <w:rPr/>
        <w:t>Dinamarca</w:t>
      </w:r>
      <w:r>
        <w:rPr>
          <w:spacing w:val="-4"/>
        </w:rPr>
        <w:t> </w:t>
      </w:r>
      <w:r>
        <w:rPr/>
        <w:t>inicien</w:t>
      </w:r>
      <w:r>
        <w:rPr>
          <w:spacing w:val="-4"/>
        </w:rPr>
        <w:t> </w:t>
      </w:r>
      <w:r>
        <w:rPr/>
        <w:t>durante</w:t>
      </w:r>
      <w:r>
        <w:rPr>
          <w:spacing w:val="-4"/>
        </w:rPr>
        <w:t> </w:t>
      </w:r>
      <w:r>
        <w:rPr/>
        <w:t>el</w:t>
      </w:r>
      <w:r>
        <w:rPr>
          <w:spacing w:val="-4"/>
        </w:rPr>
        <w:t> </w:t>
      </w:r>
      <w:r>
        <w:rPr/>
        <w:t>período de participación en la asociación.</w:t>
      </w:r>
    </w:p>
    <w:p>
      <w:pPr>
        <w:pStyle w:val="BodyText"/>
        <w:spacing w:before="2"/>
        <w:rPr>
          <w:sz w:val="32"/>
        </w:rPr>
      </w:pPr>
    </w:p>
    <w:p>
      <w:pPr>
        <w:pStyle w:val="Heading1"/>
        <w:numPr>
          <w:ilvl w:val="0"/>
          <w:numId w:val="4"/>
        </w:numPr>
        <w:tabs>
          <w:tab w:pos="1754" w:val="left" w:leader="none"/>
        </w:tabs>
        <w:spacing w:line="268" w:lineRule="auto" w:before="0" w:after="0"/>
        <w:ind w:left="963" w:right="1199" w:hanging="10"/>
        <w:jc w:val="left"/>
      </w:pPr>
      <w:bookmarkStart w:name="_TOC_250016" w:id="17"/>
      <w:r>
        <w:rPr>
          <w:color w:val="A6A6A6"/>
          <w:spacing w:val="-2"/>
        </w:rPr>
        <w:t>ADMINISTRACIÓN </w:t>
      </w:r>
      <w:r>
        <w:rPr>
          <w:color w:val="A6A6A6"/>
        </w:rPr>
        <w:t>DE</w:t>
      </w:r>
      <w:r>
        <w:rPr>
          <w:color w:val="A6A6A6"/>
          <w:spacing w:val="-17"/>
        </w:rPr>
        <w:t> </w:t>
      </w:r>
      <w:r>
        <w:rPr>
          <w:color w:val="A6A6A6"/>
        </w:rPr>
        <w:t>LA</w:t>
      </w:r>
      <w:r>
        <w:rPr>
          <w:color w:val="A6A6A6"/>
          <w:spacing w:val="-17"/>
        </w:rPr>
        <w:t> </w:t>
      </w:r>
      <w:bookmarkEnd w:id="17"/>
      <w:r>
        <w:rPr>
          <w:color w:val="A6A6A6"/>
        </w:rPr>
        <w:t>SUBVENCIÓN</w:t>
      </w:r>
    </w:p>
    <w:p>
      <w:pPr>
        <w:pStyle w:val="BodyText"/>
        <w:ind w:left="939"/>
      </w:pPr>
      <w:r>
        <w:rPr/>
        <w:pict>
          <v:group style="width:130.5pt;height:13.6pt;mso-position-horizontal-relative:char;mso-position-vertical-relative:line" id="docshapegroup40" coordorigin="0,0" coordsize="2610,272">
            <v:shape style="position:absolute;left:0;top:0;width:2610;height:272" id="docshape41" coordorigin="0,0" coordsize="2610,272" path="m2609,0l0,0,0,7,0,272,2609,272,2609,7,2609,0xe" filled="true" fillcolor="#ff0000" stroked="false">
              <v:path arrowok="t"/>
              <v:fill type="solid"/>
            </v:shape>
          </v:group>
        </w:pict>
      </w:r>
      <w:r>
        <w:rPr/>
      </w:r>
    </w:p>
    <w:p>
      <w:pPr>
        <w:pStyle w:val="BodyText"/>
        <w:spacing w:before="8"/>
        <w:rPr>
          <w:sz w:val="28"/>
        </w:rPr>
      </w:pPr>
    </w:p>
    <w:p>
      <w:pPr>
        <w:pStyle w:val="Heading2"/>
        <w:numPr>
          <w:ilvl w:val="1"/>
          <w:numId w:val="4"/>
        </w:numPr>
        <w:tabs>
          <w:tab w:pos="505" w:val="left" w:leader="none"/>
        </w:tabs>
        <w:spacing w:line="240" w:lineRule="auto" w:before="92" w:after="0"/>
        <w:ind w:left="504" w:right="0" w:hanging="403"/>
        <w:jc w:val="left"/>
      </w:pPr>
      <w:bookmarkStart w:name="_TOC_250015" w:id="18"/>
      <w:bookmarkEnd w:id="18"/>
      <w:r>
        <w:rPr>
          <w:color w:val="FF0000"/>
          <w:spacing w:val="-2"/>
        </w:rPr>
        <w:t>INTRODUCCIÓN</w:t>
      </w:r>
    </w:p>
    <w:p>
      <w:pPr>
        <w:pStyle w:val="BodyText"/>
        <w:rPr>
          <w:sz w:val="26"/>
        </w:rPr>
      </w:pPr>
    </w:p>
    <w:p>
      <w:pPr>
        <w:pStyle w:val="BodyText"/>
        <w:spacing w:before="7"/>
        <w:rPr>
          <w:sz w:val="23"/>
        </w:rPr>
      </w:pPr>
    </w:p>
    <w:p>
      <w:pPr>
        <w:spacing w:line="268" w:lineRule="auto" w:before="0"/>
        <w:ind w:left="963" w:right="862" w:hanging="10"/>
        <w:jc w:val="both"/>
        <w:rPr>
          <w:sz w:val="20"/>
        </w:rPr>
      </w:pPr>
      <w:r>
        <w:rPr>
          <w:sz w:val="20"/>
        </w:rPr>
        <w:t>Cuando un EP (</w:t>
      </w:r>
      <w:r>
        <w:rPr>
          <w:i/>
          <w:sz w:val="20"/>
        </w:rPr>
        <w:t>siglas en inglés para Socio del Encargo) </w:t>
      </w:r>
      <w:r>
        <w:rPr>
          <w:sz w:val="20"/>
        </w:rPr>
        <w:t>recibe una subvención de DIPD,</w:t>
      </w:r>
      <w:r>
        <w:rPr>
          <w:spacing w:val="-11"/>
          <w:sz w:val="20"/>
        </w:rPr>
        <w:t> </w:t>
      </w:r>
      <w:r>
        <w:rPr>
          <w:sz w:val="20"/>
        </w:rPr>
        <w:t>se</w:t>
      </w:r>
      <w:r>
        <w:rPr>
          <w:spacing w:val="-14"/>
          <w:sz w:val="20"/>
        </w:rPr>
        <w:t> </w:t>
      </w:r>
      <w:r>
        <w:rPr>
          <w:sz w:val="20"/>
        </w:rPr>
        <w:t>ve</w:t>
      </w:r>
      <w:r>
        <w:rPr>
          <w:spacing w:val="-12"/>
          <w:sz w:val="20"/>
        </w:rPr>
        <w:t> </w:t>
      </w:r>
      <w:r>
        <w:rPr>
          <w:sz w:val="20"/>
        </w:rPr>
        <w:t>obligado</w:t>
      </w:r>
      <w:r>
        <w:rPr>
          <w:spacing w:val="-14"/>
          <w:sz w:val="20"/>
        </w:rPr>
        <w:t> </w:t>
      </w:r>
      <w:r>
        <w:rPr>
          <w:sz w:val="20"/>
        </w:rPr>
        <w:t>a</w:t>
      </w:r>
      <w:r>
        <w:rPr>
          <w:spacing w:val="-12"/>
          <w:sz w:val="20"/>
        </w:rPr>
        <w:t> </w:t>
      </w:r>
      <w:r>
        <w:rPr>
          <w:sz w:val="20"/>
        </w:rPr>
        <w:t>cumplir</w:t>
      </w:r>
      <w:r>
        <w:rPr>
          <w:spacing w:val="-10"/>
          <w:sz w:val="20"/>
        </w:rPr>
        <w:t> </w:t>
      </w:r>
      <w:r>
        <w:rPr>
          <w:sz w:val="20"/>
        </w:rPr>
        <w:t>con</w:t>
      </w:r>
      <w:r>
        <w:rPr>
          <w:spacing w:val="-12"/>
          <w:sz w:val="20"/>
        </w:rPr>
        <w:t> </w:t>
      </w:r>
      <w:r>
        <w:rPr>
          <w:sz w:val="20"/>
        </w:rPr>
        <w:t>una</w:t>
      </w:r>
      <w:r>
        <w:rPr>
          <w:spacing w:val="-12"/>
          <w:sz w:val="20"/>
        </w:rPr>
        <w:t> </w:t>
      </w:r>
      <w:r>
        <w:rPr>
          <w:sz w:val="20"/>
        </w:rPr>
        <w:t>serie</w:t>
      </w:r>
      <w:r>
        <w:rPr>
          <w:spacing w:val="-12"/>
          <w:sz w:val="20"/>
        </w:rPr>
        <w:t> </w:t>
      </w:r>
      <w:r>
        <w:rPr>
          <w:sz w:val="20"/>
        </w:rPr>
        <w:t>de</w:t>
      </w:r>
      <w:r>
        <w:rPr>
          <w:spacing w:val="-14"/>
          <w:sz w:val="20"/>
        </w:rPr>
        <w:t> </w:t>
      </w:r>
      <w:r>
        <w:rPr>
          <w:sz w:val="20"/>
        </w:rPr>
        <w:t>condiciones</w:t>
      </w:r>
      <w:r>
        <w:rPr>
          <w:spacing w:val="-12"/>
          <w:sz w:val="20"/>
        </w:rPr>
        <w:t> </w:t>
      </w:r>
      <w:r>
        <w:rPr>
          <w:sz w:val="20"/>
        </w:rPr>
        <w:t>y</w:t>
      </w:r>
      <w:r>
        <w:rPr>
          <w:spacing w:val="-12"/>
          <w:sz w:val="20"/>
        </w:rPr>
        <w:t> </w:t>
      </w:r>
      <w:r>
        <w:rPr>
          <w:sz w:val="20"/>
        </w:rPr>
        <w:t>requisitos</w:t>
      </w:r>
      <w:r>
        <w:rPr>
          <w:spacing w:val="-11"/>
          <w:sz w:val="20"/>
        </w:rPr>
        <w:t> </w:t>
      </w:r>
      <w:r>
        <w:rPr>
          <w:sz w:val="20"/>
        </w:rPr>
        <w:t>en</w:t>
      </w:r>
      <w:r>
        <w:rPr>
          <w:spacing w:val="-12"/>
          <w:sz w:val="20"/>
        </w:rPr>
        <w:t> </w:t>
      </w:r>
      <w:r>
        <w:rPr>
          <w:sz w:val="20"/>
        </w:rPr>
        <w:t>la</w:t>
      </w:r>
      <w:r>
        <w:rPr>
          <w:spacing w:val="-12"/>
          <w:sz w:val="20"/>
        </w:rPr>
        <w:t> </w:t>
      </w:r>
      <w:r>
        <w:rPr>
          <w:sz w:val="20"/>
        </w:rPr>
        <w:t>forma en que se gestionan los fondos.</w:t>
      </w:r>
    </w:p>
    <w:p>
      <w:pPr>
        <w:pStyle w:val="BodyText"/>
        <w:spacing w:line="268" w:lineRule="auto" w:before="130"/>
        <w:ind w:left="963" w:right="858" w:hanging="10"/>
        <w:jc w:val="both"/>
      </w:pPr>
      <w:r>
        <w:rPr/>
        <w:t>Esta parte de las directrices contiene información sobre diferentes aspectos de la administración con los que el EP debe estar familiarizado. Además, el capítulo contiene</w:t>
      </w:r>
      <w:r>
        <w:rPr>
          <w:spacing w:val="-14"/>
        </w:rPr>
        <w:t> </w:t>
      </w:r>
      <w:r>
        <w:rPr/>
        <w:t>una</w:t>
      </w:r>
      <w:r>
        <w:rPr>
          <w:spacing w:val="-14"/>
        </w:rPr>
        <w:t> </w:t>
      </w:r>
      <w:r>
        <w:rPr/>
        <w:t>referencia</w:t>
      </w:r>
      <w:r>
        <w:rPr>
          <w:spacing w:val="-12"/>
        </w:rPr>
        <w:t> </w:t>
      </w:r>
      <w:r>
        <w:rPr/>
        <w:t>a</w:t>
      </w:r>
      <w:r>
        <w:rPr>
          <w:spacing w:val="-14"/>
        </w:rPr>
        <w:t> </w:t>
      </w:r>
      <w:r>
        <w:rPr/>
        <w:t>varios</w:t>
      </w:r>
      <w:r>
        <w:rPr>
          <w:spacing w:val="-12"/>
        </w:rPr>
        <w:t> </w:t>
      </w:r>
      <w:r>
        <w:rPr/>
        <w:t>formatos</w:t>
      </w:r>
      <w:r>
        <w:rPr>
          <w:spacing w:val="-13"/>
        </w:rPr>
        <w:t> </w:t>
      </w:r>
      <w:r>
        <w:rPr/>
        <w:t>que</w:t>
      </w:r>
      <w:r>
        <w:rPr>
          <w:spacing w:val="-14"/>
        </w:rPr>
        <w:t> </w:t>
      </w:r>
      <w:r>
        <w:rPr/>
        <w:t>se</w:t>
      </w:r>
      <w:r>
        <w:rPr>
          <w:spacing w:val="-14"/>
        </w:rPr>
        <w:t> </w:t>
      </w:r>
      <w:r>
        <w:rPr/>
        <w:t>utilizarán</w:t>
      </w:r>
      <w:r>
        <w:rPr>
          <w:spacing w:val="-14"/>
        </w:rPr>
        <w:t> </w:t>
      </w:r>
      <w:r>
        <w:rPr/>
        <w:t>en</w:t>
      </w:r>
      <w:r>
        <w:rPr>
          <w:spacing w:val="-14"/>
        </w:rPr>
        <w:t> </w:t>
      </w:r>
      <w:r>
        <w:rPr/>
        <w:t>relación</w:t>
      </w:r>
      <w:r>
        <w:rPr>
          <w:spacing w:val="-13"/>
        </w:rPr>
        <w:t> </w:t>
      </w:r>
      <w:r>
        <w:rPr/>
        <w:t>con</w:t>
      </w:r>
      <w:r>
        <w:rPr>
          <w:spacing w:val="-14"/>
        </w:rPr>
        <w:t> </w:t>
      </w:r>
      <w:r>
        <w:rPr/>
        <w:t>la</w:t>
      </w:r>
      <w:r>
        <w:rPr>
          <w:spacing w:val="-12"/>
        </w:rPr>
        <w:t> </w:t>
      </w:r>
      <w:r>
        <w:rPr/>
        <w:t>gestión práctica de la subvención.</w:t>
      </w:r>
    </w:p>
    <w:p>
      <w:pPr>
        <w:pStyle w:val="BodyText"/>
        <w:spacing w:line="268" w:lineRule="auto" w:before="129"/>
        <w:ind w:left="963" w:right="860" w:hanging="10"/>
        <w:jc w:val="both"/>
      </w:pPr>
      <w:r>
        <w:rPr/>
        <w:t>La contabilidad deberá llevarse siguiendo los principios contables internacionalmente</w:t>
      </w:r>
      <w:r>
        <w:rPr>
          <w:spacing w:val="-14"/>
        </w:rPr>
        <w:t> </w:t>
      </w:r>
      <w:r>
        <w:rPr/>
        <w:t>aceptados,</w:t>
      </w:r>
      <w:r>
        <w:rPr>
          <w:spacing w:val="-14"/>
        </w:rPr>
        <w:t> </w:t>
      </w:r>
      <w:r>
        <w:rPr/>
        <w:t>deben</w:t>
      </w:r>
      <w:r>
        <w:rPr>
          <w:spacing w:val="-14"/>
        </w:rPr>
        <w:t> </w:t>
      </w:r>
      <w:r>
        <w:rPr/>
        <w:t>seguir</w:t>
      </w:r>
      <w:r>
        <w:rPr>
          <w:spacing w:val="-14"/>
        </w:rPr>
        <w:t> </w:t>
      </w:r>
      <w:r>
        <w:rPr/>
        <w:t>los</w:t>
      </w:r>
      <w:r>
        <w:rPr>
          <w:spacing w:val="-14"/>
        </w:rPr>
        <w:t> </w:t>
      </w:r>
      <w:r>
        <w:rPr/>
        <w:t>principios</w:t>
      </w:r>
      <w:r>
        <w:rPr>
          <w:spacing w:val="-14"/>
        </w:rPr>
        <w:t> </w:t>
      </w:r>
      <w:r>
        <w:rPr/>
        <w:t>básicos</w:t>
      </w:r>
      <w:r>
        <w:rPr>
          <w:spacing w:val="-14"/>
        </w:rPr>
        <w:t> </w:t>
      </w:r>
      <w:r>
        <w:rPr/>
        <w:t>de</w:t>
      </w:r>
      <w:r>
        <w:rPr>
          <w:spacing w:val="-14"/>
        </w:rPr>
        <w:t> </w:t>
      </w:r>
      <w:r>
        <w:rPr/>
        <w:t>los</w:t>
      </w:r>
      <w:r>
        <w:rPr>
          <w:spacing w:val="-14"/>
        </w:rPr>
        <w:t> </w:t>
      </w:r>
      <w:r>
        <w:rPr/>
        <w:t>cuatro</w:t>
      </w:r>
      <w:r>
        <w:rPr>
          <w:spacing w:val="-13"/>
        </w:rPr>
        <w:t> </w:t>
      </w:r>
      <w:r>
        <w:rPr/>
        <w:t>ojos (</w:t>
      </w:r>
      <w:r>
        <w:rPr>
          <w:i/>
        </w:rPr>
        <w:t>four-eye principles en inglés) </w:t>
      </w:r>
      <w:r>
        <w:rPr/>
        <w:t>para todos los pagos y asegurar una separación de funciones adecuada y sólida. Las cuentas se elaborarán con el mismo nivel de detalle que se hace en el presupuesto. La subvención total no se puede exceder y se utilizará únicamente para el propósito acordado.</w:t>
      </w:r>
    </w:p>
    <w:p>
      <w:pPr>
        <w:pStyle w:val="BodyText"/>
        <w:spacing w:line="268" w:lineRule="auto" w:before="135"/>
        <w:ind w:left="963" w:right="871" w:hanging="10"/>
        <w:jc w:val="both"/>
      </w:pPr>
      <w:r>
        <w:rPr/>
        <w:t>La</w:t>
      </w:r>
      <w:r>
        <w:rPr>
          <w:spacing w:val="-1"/>
        </w:rPr>
        <w:t> </w:t>
      </w:r>
      <w:r>
        <w:rPr/>
        <w:t>subvención</w:t>
      </w:r>
      <w:r>
        <w:rPr>
          <w:spacing w:val="-1"/>
        </w:rPr>
        <w:t> </w:t>
      </w:r>
      <w:r>
        <w:rPr/>
        <w:t>se</w:t>
      </w:r>
      <w:r>
        <w:rPr>
          <w:spacing w:val="-1"/>
        </w:rPr>
        <w:t> </w:t>
      </w:r>
      <w:r>
        <w:rPr/>
        <w:t>mantendrá</w:t>
      </w:r>
      <w:r>
        <w:rPr>
          <w:spacing w:val="-1"/>
        </w:rPr>
        <w:t> </w:t>
      </w:r>
      <w:r>
        <w:rPr/>
        <w:t>y se</w:t>
      </w:r>
      <w:r>
        <w:rPr>
          <w:spacing w:val="-1"/>
        </w:rPr>
        <w:t> </w:t>
      </w:r>
      <w:r>
        <w:rPr/>
        <w:t>contabilizará por separado</w:t>
      </w:r>
      <w:r>
        <w:rPr>
          <w:spacing w:val="-1"/>
        </w:rPr>
        <w:t> </w:t>
      </w:r>
      <w:r>
        <w:rPr/>
        <w:t>(de</w:t>
      </w:r>
      <w:r>
        <w:rPr>
          <w:spacing w:val="-1"/>
        </w:rPr>
        <w:t> </w:t>
      </w:r>
      <w:r>
        <w:rPr/>
        <w:t>otros fondos y de otras fuentes).</w:t>
      </w:r>
    </w:p>
    <w:p>
      <w:pPr>
        <w:pStyle w:val="Heading2"/>
        <w:numPr>
          <w:ilvl w:val="1"/>
          <w:numId w:val="4"/>
        </w:numPr>
        <w:tabs>
          <w:tab w:pos="1174" w:val="left" w:leader="none"/>
          <w:tab w:pos="1175" w:val="left" w:leader="none"/>
        </w:tabs>
        <w:spacing w:line="240" w:lineRule="auto" w:before="129" w:after="0"/>
        <w:ind w:left="1174" w:right="0" w:hanging="1073"/>
        <w:jc w:val="left"/>
      </w:pPr>
      <w:bookmarkStart w:name="_TOC_250014" w:id="19"/>
      <w:r>
        <w:rPr>
          <w:color w:val="FF0000"/>
        </w:rPr>
        <w:t>REQUISITOS</w:t>
      </w:r>
      <w:r>
        <w:rPr>
          <w:color w:val="FF0000"/>
          <w:spacing w:val="-2"/>
        </w:rPr>
        <w:t> </w:t>
      </w:r>
      <w:r>
        <w:rPr>
          <w:color w:val="FF0000"/>
        </w:rPr>
        <w:t>Y</w:t>
      </w:r>
      <w:r>
        <w:rPr>
          <w:color w:val="FF0000"/>
          <w:spacing w:val="1"/>
        </w:rPr>
        <w:t> </w:t>
      </w:r>
      <w:bookmarkEnd w:id="19"/>
      <w:r>
        <w:rPr>
          <w:color w:val="FF0000"/>
          <w:spacing w:val="-2"/>
        </w:rPr>
        <w:t>RESPONSABILIDADES</w:t>
      </w:r>
    </w:p>
    <w:p>
      <w:pPr>
        <w:spacing w:line="268" w:lineRule="auto" w:before="187"/>
        <w:ind w:left="963" w:right="863" w:hanging="10"/>
        <w:jc w:val="both"/>
        <w:rPr>
          <w:sz w:val="20"/>
        </w:rPr>
      </w:pPr>
      <w:r>
        <w:rPr>
          <w:sz w:val="20"/>
        </w:rPr>
        <w:t>El</w:t>
      </w:r>
      <w:r>
        <w:rPr>
          <w:spacing w:val="-7"/>
          <w:sz w:val="20"/>
        </w:rPr>
        <w:t> </w:t>
      </w:r>
      <w:r>
        <w:rPr>
          <w:sz w:val="20"/>
        </w:rPr>
        <w:t>EP</w:t>
      </w:r>
      <w:r>
        <w:rPr>
          <w:spacing w:val="-9"/>
          <w:sz w:val="20"/>
        </w:rPr>
        <w:t> </w:t>
      </w:r>
      <w:r>
        <w:rPr>
          <w:sz w:val="20"/>
        </w:rPr>
        <w:t>(</w:t>
      </w:r>
      <w:r>
        <w:rPr>
          <w:i/>
          <w:sz w:val="20"/>
        </w:rPr>
        <w:t>siglas</w:t>
      </w:r>
      <w:r>
        <w:rPr>
          <w:i/>
          <w:spacing w:val="-8"/>
          <w:sz w:val="20"/>
        </w:rPr>
        <w:t> </w:t>
      </w:r>
      <w:r>
        <w:rPr>
          <w:i/>
          <w:sz w:val="20"/>
        </w:rPr>
        <w:t>en</w:t>
      </w:r>
      <w:r>
        <w:rPr>
          <w:i/>
          <w:spacing w:val="-9"/>
          <w:sz w:val="20"/>
        </w:rPr>
        <w:t> </w:t>
      </w:r>
      <w:r>
        <w:rPr>
          <w:i/>
          <w:sz w:val="20"/>
        </w:rPr>
        <w:t>inglés</w:t>
      </w:r>
      <w:r>
        <w:rPr>
          <w:i/>
          <w:spacing w:val="-8"/>
          <w:sz w:val="20"/>
        </w:rPr>
        <w:t> </w:t>
      </w:r>
      <w:r>
        <w:rPr>
          <w:i/>
          <w:sz w:val="20"/>
        </w:rPr>
        <w:t>para</w:t>
      </w:r>
      <w:r>
        <w:rPr>
          <w:i/>
          <w:spacing w:val="-6"/>
          <w:sz w:val="20"/>
        </w:rPr>
        <w:t> </w:t>
      </w:r>
      <w:r>
        <w:rPr>
          <w:i/>
          <w:sz w:val="20"/>
        </w:rPr>
        <w:t>Socio</w:t>
      </w:r>
      <w:r>
        <w:rPr>
          <w:i/>
          <w:spacing w:val="-9"/>
          <w:sz w:val="20"/>
        </w:rPr>
        <w:t> </w:t>
      </w:r>
      <w:r>
        <w:rPr>
          <w:i/>
          <w:sz w:val="20"/>
        </w:rPr>
        <w:t>del</w:t>
      </w:r>
      <w:r>
        <w:rPr>
          <w:i/>
          <w:spacing w:val="-4"/>
          <w:sz w:val="20"/>
        </w:rPr>
        <w:t> </w:t>
      </w:r>
      <w:r>
        <w:rPr>
          <w:i/>
          <w:sz w:val="20"/>
        </w:rPr>
        <w:t>Encargo)</w:t>
      </w:r>
      <w:r>
        <w:rPr>
          <w:i/>
          <w:spacing w:val="-8"/>
          <w:sz w:val="20"/>
        </w:rPr>
        <w:t> </w:t>
      </w:r>
      <w:r>
        <w:rPr>
          <w:sz w:val="20"/>
        </w:rPr>
        <w:t>tiene</w:t>
      </w:r>
      <w:r>
        <w:rPr>
          <w:spacing w:val="-9"/>
          <w:sz w:val="20"/>
        </w:rPr>
        <w:t> </w:t>
      </w:r>
      <w:r>
        <w:rPr>
          <w:sz w:val="20"/>
        </w:rPr>
        <w:t>responsabilidad</w:t>
      </w:r>
      <w:r>
        <w:rPr>
          <w:spacing w:val="-9"/>
          <w:sz w:val="20"/>
        </w:rPr>
        <w:t> </w:t>
      </w:r>
      <w:r>
        <w:rPr>
          <w:sz w:val="20"/>
        </w:rPr>
        <w:t>plena</w:t>
      </w:r>
      <w:r>
        <w:rPr>
          <w:spacing w:val="-9"/>
          <w:sz w:val="20"/>
        </w:rPr>
        <w:t> </w:t>
      </w:r>
      <w:r>
        <w:rPr>
          <w:sz w:val="20"/>
        </w:rPr>
        <w:t>sobre</w:t>
      </w:r>
      <w:r>
        <w:rPr>
          <w:spacing w:val="-9"/>
          <w:sz w:val="20"/>
        </w:rPr>
        <w:t> </w:t>
      </w:r>
      <w:r>
        <w:rPr>
          <w:sz w:val="20"/>
        </w:rPr>
        <w:t>la administración</w:t>
      </w:r>
      <w:r>
        <w:rPr>
          <w:spacing w:val="-7"/>
          <w:sz w:val="20"/>
        </w:rPr>
        <w:t> </w:t>
      </w:r>
      <w:r>
        <w:rPr>
          <w:sz w:val="20"/>
        </w:rPr>
        <w:t>de</w:t>
      </w:r>
      <w:r>
        <w:rPr>
          <w:spacing w:val="-7"/>
          <w:sz w:val="20"/>
        </w:rPr>
        <w:t> </w:t>
      </w:r>
      <w:r>
        <w:rPr>
          <w:sz w:val="20"/>
        </w:rPr>
        <w:t>los</w:t>
      </w:r>
      <w:r>
        <w:rPr>
          <w:spacing w:val="-6"/>
          <w:sz w:val="20"/>
        </w:rPr>
        <w:t> </w:t>
      </w:r>
      <w:r>
        <w:rPr>
          <w:sz w:val="20"/>
        </w:rPr>
        <w:t>fondos</w:t>
      </w:r>
      <w:r>
        <w:rPr>
          <w:spacing w:val="-8"/>
          <w:sz w:val="20"/>
        </w:rPr>
        <w:t> </w:t>
      </w:r>
      <w:r>
        <w:rPr>
          <w:sz w:val="20"/>
        </w:rPr>
        <w:t>que</w:t>
      </w:r>
      <w:r>
        <w:rPr>
          <w:spacing w:val="-7"/>
          <w:sz w:val="20"/>
        </w:rPr>
        <w:t> </w:t>
      </w:r>
      <w:r>
        <w:rPr>
          <w:sz w:val="20"/>
        </w:rPr>
        <w:t>deberán</w:t>
      </w:r>
      <w:r>
        <w:rPr>
          <w:spacing w:val="-7"/>
          <w:sz w:val="20"/>
        </w:rPr>
        <w:t> </w:t>
      </w:r>
      <w:r>
        <w:rPr>
          <w:sz w:val="20"/>
        </w:rPr>
        <w:t>seguir</w:t>
      </w:r>
      <w:r>
        <w:rPr>
          <w:spacing w:val="-6"/>
          <w:sz w:val="20"/>
        </w:rPr>
        <w:t> </w:t>
      </w:r>
      <w:r>
        <w:rPr>
          <w:sz w:val="20"/>
        </w:rPr>
        <w:t>las</w:t>
      </w:r>
      <w:r>
        <w:rPr>
          <w:spacing w:val="-6"/>
          <w:sz w:val="20"/>
        </w:rPr>
        <w:t> </w:t>
      </w:r>
      <w:r>
        <w:rPr>
          <w:sz w:val="20"/>
        </w:rPr>
        <w:t>bases</w:t>
      </w:r>
      <w:r>
        <w:rPr>
          <w:spacing w:val="-8"/>
          <w:sz w:val="20"/>
        </w:rPr>
        <w:t> </w:t>
      </w:r>
      <w:r>
        <w:rPr>
          <w:sz w:val="20"/>
        </w:rPr>
        <w:t>sobre</w:t>
      </w:r>
      <w:r>
        <w:rPr>
          <w:spacing w:val="-7"/>
          <w:sz w:val="20"/>
        </w:rPr>
        <w:t> </w:t>
      </w:r>
      <w:r>
        <w:rPr>
          <w:sz w:val="20"/>
        </w:rPr>
        <w:t>la</w:t>
      </w:r>
      <w:r>
        <w:rPr>
          <w:spacing w:val="-7"/>
          <w:sz w:val="20"/>
        </w:rPr>
        <w:t> </w:t>
      </w:r>
      <w:r>
        <w:rPr>
          <w:sz w:val="20"/>
        </w:rPr>
        <w:t>que</w:t>
      </w:r>
      <w:r>
        <w:rPr>
          <w:spacing w:val="-7"/>
          <w:sz w:val="20"/>
        </w:rPr>
        <w:t> </w:t>
      </w:r>
      <w:r>
        <w:rPr>
          <w:sz w:val="20"/>
        </w:rPr>
        <w:t>se</w:t>
      </w:r>
      <w:r>
        <w:rPr>
          <w:spacing w:val="-7"/>
          <w:sz w:val="20"/>
        </w:rPr>
        <w:t> </w:t>
      </w:r>
      <w:r>
        <w:rPr>
          <w:sz w:val="20"/>
        </w:rPr>
        <w:t>otorgan, que incluyen:</w:t>
      </w:r>
    </w:p>
    <w:p>
      <w:pPr>
        <w:spacing w:line="271" w:lineRule="auto" w:before="128"/>
        <w:ind w:left="963" w:right="860" w:hanging="10"/>
        <w:jc w:val="both"/>
        <w:rPr>
          <w:sz w:val="20"/>
        </w:rPr>
      </w:pPr>
      <w:r>
        <w:rPr>
          <w:rFonts w:ascii="Segoe UI Symbol" w:hAnsi="Segoe UI Symbol"/>
          <w:color w:val="FF0000"/>
          <w:sz w:val="20"/>
        </w:rPr>
        <w:t>→</w:t>
      </w:r>
      <w:r>
        <w:rPr>
          <w:rFonts w:ascii="Segoe UI Symbol" w:hAnsi="Segoe UI Symbol"/>
          <w:color w:val="FF0000"/>
          <w:spacing w:val="-2"/>
          <w:sz w:val="20"/>
        </w:rPr>
        <w:t> </w:t>
      </w:r>
      <w:r>
        <w:rPr>
          <w:sz w:val="20"/>
        </w:rPr>
        <w:t>que</w:t>
      </w:r>
      <w:r>
        <w:rPr>
          <w:spacing w:val="-2"/>
          <w:sz w:val="20"/>
        </w:rPr>
        <w:t> </w:t>
      </w:r>
      <w:r>
        <w:rPr>
          <w:sz w:val="20"/>
        </w:rPr>
        <w:t>los</w:t>
      </w:r>
      <w:r>
        <w:rPr>
          <w:spacing w:val="-3"/>
          <w:sz w:val="20"/>
        </w:rPr>
        <w:t> </w:t>
      </w:r>
      <w:r>
        <w:rPr>
          <w:sz w:val="20"/>
        </w:rPr>
        <w:t>fondos</w:t>
      </w:r>
      <w:r>
        <w:rPr>
          <w:spacing w:val="-3"/>
          <w:sz w:val="20"/>
        </w:rPr>
        <w:t> </w:t>
      </w:r>
      <w:r>
        <w:rPr>
          <w:sz w:val="20"/>
        </w:rPr>
        <w:t>se</w:t>
      </w:r>
      <w:r>
        <w:rPr>
          <w:spacing w:val="-2"/>
          <w:sz w:val="20"/>
        </w:rPr>
        <w:t> </w:t>
      </w:r>
      <w:r>
        <w:rPr>
          <w:sz w:val="20"/>
        </w:rPr>
        <w:t>utilizarán</w:t>
      </w:r>
      <w:r>
        <w:rPr>
          <w:spacing w:val="-3"/>
          <w:sz w:val="20"/>
        </w:rPr>
        <w:t> </w:t>
      </w:r>
      <w:r>
        <w:rPr>
          <w:sz w:val="20"/>
        </w:rPr>
        <w:t>para</w:t>
      </w:r>
      <w:r>
        <w:rPr>
          <w:spacing w:val="-2"/>
          <w:sz w:val="20"/>
        </w:rPr>
        <w:t> </w:t>
      </w:r>
      <w:r>
        <w:rPr>
          <w:sz w:val="20"/>
        </w:rPr>
        <w:t>el</w:t>
      </w:r>
      <w:r>
        <w:rPr>
          <w:spacing w:val="-3"/>
          <w:sz w:val="20"/>
        </w:rPr>
        <w:t> </w:t>
      </w:r>
      <w:r>
        <w:rPr>
          <w:sz w:val="20"/>
        </w:rPr>
        <w:t>propósito</w:t>
      </w:r>
      <w:r>
        <w:rPr>
          <w:spacing w:val="-2"/>
          <w:sz w:val="20"/>
        </w:rPr>
        <w:t> </w:t>
      </w:r>
      <w:r>
        <w:rPr>
          <w:sz w:val="20"/>
        </w:rPr>
        <w:t>que</w:t>
      </w:r>
      <w:r>
        <w:rPr>
          <w:spacing w:val="-2"/>
          <w:sz w:val="20"/>
        </w:rPr>
        <w:t> </w:t>
      </w:r>
      <w:r>
        <w:rPr>
          <w:sz w:val="20"/>
        </w:rPr>
        <w:t>se</w:t>
      </w:r>
      <w:r>
        <w:rPr>
          <w:spacing w:val="-2"/>
          <w:sz w:val="20"/>
        </w:rPr>
        <w:t> </w:t>
      </w:r>
      <w:r>
        <w:rPr>
          <w:sz w:val="20"/>
        </w:rPr>
        <w:t>describe</w:t>
      </w:r>
      <w:r>
        <w:rPr>
          <w:spacing w:val="-4"/>
          <w:sz w:val="20"/>
        </w:rPr>
        <w:t> </w:t>
      </w:r>
      <w:r>
        <w:rPr>
          <w:sz w:val="20"/>
        </w:rPr>
        <w:t>en</w:t>
      </w:r>
      <w:r>
        <w:rPr>
          <w:spacing w:val="-2"/>
          <w:sz w:val="20"/>
        </w:rPr>
        <w:t> </w:t>
      </w:r>
      <w:r>
        <w:rPr>
          <w:sz w:val="20"/>
        </w:rPr>
        <w:t>el</w:t>
      </w:r>
      <w:r>
        <w:rPr>
          <w:spacing w:val="-3"/>
          <w:sz w:val="20"/>
        </w:rPr>
        <w:t> </w:t>
      </w:r>
      <w:r>
        <w:rPr>
          <w:sz w:val="20"/>
        </w:rPr>
        <w:t>FA </w:t>
      </w:r>
      <w:r>
        <w:rPr>
          <w:i/>
          <w:sz w:val="20"/>
        </w:rPr>
        <w:t>(siglas</w:t>
      </w:r>
      <w:r>
        <w:rPr>
          <w:i/>
          <w:spacing w:val="-3"/>
          <w:sz w:val="20"/>
        </w:rPr>
        <w:t> </w:t>
      </w:r>
      <w:r>
        <w:rPr>
          <w:i/>
          <w:sz w:val="20"/>
        </w:rPr>
        <w:t>en</w:t>
      </w:r>
      <w:r>
        <w:rPr>
          <w:i/>
          <w:sz w:val="20"/>
        </w:rPr>
        <w:t> inglés para Acuerdo Marco)</w:t>
      </w:r>
      <w:r>
        <w:rPr>
          <w:sz w:val="20"/>
        </w:rPr>
        <w:t>, que ha sido aprobado por la Ejecutiva de DIPD</w:t>
      </w:r>
    </w:p>
    <w:p>
      <w:pPr>
        <w:pStyle w:val="BodyText"/>
        <w:spacing w:line="271" w:lineRule="auto" w:before="123"/>
        <w:ind w:left="963" w:right="866" w:hanging="10"/>
        <w:jc w:val="both"/>
      </w:pPr>
      <w:r>
        <w:rPr>
          <w:rFonts w:ascii="Segoe UI Symbol" w:hAnsi="Segoe UI Symbol"/>
          <w:color w:val="FF0000"/>
        </w:rPr>
        <w:t>→</w:t>
      </w:r>
      <w:r>
        <w:rPr>
          <w:rFonts w:ascii="Segoe UI Symbol" w:hAnsi="Segoe UI Symbol"/>
          <w:color w:val="FF0000"/>
          <w:spacing w:val="-10"/>
        </w:rPr>
        <w:t> </w:t>
      </w:r>
      <w:r>
        <w:rPr/>
        <w:t>que</w:t>
      </w:r>
      <w:r>
        <w:rPr>
          <w:spacing w:val="-13"/>
        </w:rPr>
        <w:t> </w:t>
      </w:r>
      <w:r>
        <w:rPr/>
        <w:t>todos</w:t>
      </w:r>
      <w:r>
        <w:rPr>
          <w:spacing w:val="-11"/>
        </w:rPr>
        <w:t> </w:t>
      </w:r>
      <w:r>
        <w:rPr/>
        <w:t>los</w:t>
      </w:r>
      <w:r>
        <w:rPr>
          <w:spacing w:val="-11"/>
        </w:rPr>
        <w:t> </w:t>
      </w:r>
      <w:r>
        <w:rPr/>
        <w:t>costes</w:t>
      </w:r>
      <w:r>
        <w:rPr>
          <w:spacing w:val="-12"/>
        </w:rPr>
        <w:t> </w:t>
      </w:r>
      <w:r>
        <w:rPr/>
        <w:t>de</w:t>
      </w:r>
      <w:r>
        <w:rPr>
          <w:spacing w:val="-13"/>
        </w:rPr>
        <w:t> </w:t>
      </w:r>
      <w:r>
        <w:rPr/>
        <w:t>la</w:t>
      </w:r>
      <w:r>
        <w:rPr>
          <w:spacing w:val="-13"/>
        </w:rPr>
        <w:t> </w:t>
      </w:r>
      <w:r>
        <w:rPr/>
        <w:t>asociación</w:t>
      </w:r>
      <w:r>
        <w:rPr>
          <w:spacing w:val="-10"/>
        </w:rPr>
        <w:t> </w:t>
      </w:r>
      <w:r>
        <w:rPr/>
        <w:t>entre</w:t>
      </w:r>
      <w:r>
        <w:rPr>
          <w:spacing w:val="-10"/>
        </w:rPr>
        <w:t> </w:t>
      </w:r>
      <w:r>
        <w:rPr/>
        <w:t>partidos</w:t>
      </w:r>
      <w:r>
        <w:rPr>
          <w:spacing w:val="-9"/>
        </w:rPr>
        <w:t> </w:t>
      </w:r>
      <w:r>
        <w:rPr/>
        <w:t>deben</w:t>
      </w:r>
      <w:r>
        <w:rPr>
          <w:spacing w:val="-13"/>
        </w:rPr>
        <w:t> </w:t>
      </w:r>
      <w:r>
        <w:rPr/>
        <w:t>mantenerse</w:t>
      </w:r>
      <w:r>
        <w:rPr>
          <w:spacing w:val="-13"/>
        </w:rPr>
        <w:t> </w:t>
      </w:r>
      <w:r>
        <w:rPr/>
        <w:t>dentro</w:t>
      </w:r>
      <w:r>
        <w:rPr>
          <w:spacing w:val="-10"/>
        </w:rPr>
        <w:t> </w:t>
      </w:r>
      <w:r>
        <w:rPr/>
        <w:t>del período de subvención aprobado, a menos que se acuerde lo contrario entre DIPD y el EP;</w:t>
      </w:r>
    </w:p>
    <w:p>
      <w:pPr>
        <w:pStyle w:val="BodyText"/>
        <w:spacing w:before="123"/>
        <w:ind w:left="954"/>
        <w:jc w:val="both"/>
      </w:pPr>
      <w:r>
        <w:rPr>
          <w:rFonts w:ascii="Segoe UI Symbol" w:hAnsi="Segoe UI Symbol"/>
          <w:color w:val="FF0000"/>
        </w:rPr>
        <w:t>→</w:t>
      </w:r>
      <w:r>
        <w:rPr>
          <w:rFonts w:ascii="Segoe UI Symbol" w:hAnsi="Segoe UI Symbol"/>
          <w:color w:val="FF0000"/>
          <w:spacing w:val="-4"/>
        </w:rPr>
        <w:t> </w:t>
      </w:r>
      <w:r>
        <w:rPr/>
        <w:t>que</w:t>
      </w:r>
      <w:r>
        <w:rPr>
          <w:spacing w:val="-5"/>
        </w:rPr>
        <w:t> </w:t>
      </w:r>
      <w:r>
        <w:rPr/>
        <w:t>el</w:t>
      </w:r>
      <w:r>
        <w:rPr>
          <w:spacing w:val="-4"/>
        </w:rPr>
        <w:t> </w:t>
      </w:r>
      <w:r>
        <w:rPr/>
        <w:t>EP</w:t>
      </w:r>
      <w:r>
        <w:rPr>
          <w:spacing w:val="-4"/>
        </w:rPr>
        <w:t> </w:t>
      </w:r>
      <w:r>
        <w:rPr/>
        <w:t>ayudará</w:t>
      </w:r>
      <w:r>
        <w:rPr>
          <w:spacing w:val="-2"/>
        </w:rPr>
        <w:t> </w:t>
      </w:r>
      <w:r>
        <w:rPr/>
        <w:t>a</w:t>
      </w:r>
      <w:r>
        <w:rPr>
          <w:spacing w:val="-6"/>
        </w:rPr>
        <w:t> </w:t>
      </w:r>
      <w:r>
        <w:rPr/>
        <w:t>prevenir</w:t>
      </w:r>
      <w:r>
        <w:rPr>
          <w:spacing w:val="-4"/>
        </w:rPr>
        <w:t> </w:t>
      </w:r>
      <w:r>
        <w:rPr/>
        <w:t>la</w:t>
      </w:r>
      <w:r>
        <w:rPr>
          <w:spacing w:val="-6"/>
        </w:rPr>
        <w:t> </w:t>
      </w:r>
      <w:r>
        <w:rPr/>
        <w:t>corrupción</w:t>
      </w:r>
      <w:r>
        <w:rPr>
          <w:spacing w:val="-6"/>
        </w:rPr>
        <w:t> </w:t>
      </w:r>
      <w:r>
        <w:rPr/>
        <w:t>y</w:t>
      </w:r>
      <w:r>
        <w:rPr>
          <w:spacing w:val="-4"/>
        </w:rPr>
        <w:t> </w:t>
      </w:r>
      <w:r>
        <w:rPr/>
        <w:t>el</w:t>
      </w:r>
      <w:r>
        <w:rPr>
          <w:spacing w:val="-6"/>
        </w:rPr>
        <w:t> </w:t>
      </w:r>
      <w:r>
        <w:rPr/>
        <w:t>mal</w:t>
      </w:r>
      <w:r>
        <w:rPr>
          <w:spacing w:val="-4"/>
        </w:rPr>
        <w:t> </w:t>
      </w:r>
      <w:r>
        <w:rPr/>
        <w:t>uso</w:t>
      </w:r>
      <w:r>
        <w:rPr>
          <w:spacing w:val="-5"/>
        </w:rPr>
        <w:t> </w:t>
      </w:r>
      <w:r>
        <w:rPr/>
        <w:t>de</w:t>
      </w:r>
      <w:r>
        <w:rPr>
          <w:spacing w:val="-4"/>
        </w:rPr>
        <w:t> </w:t>
      </w:r>
      <w:r>
        <w:rPr/>
        <w:t>los</w:t>
      </w:r>
      <w:r>
        <w:rPr>
          <w:spacing w:val="-4"/>
        </w:rPr>
        <w:t> </w:t>
      </w:r>
      <w:r>
        <w:rPr>
          <w:spacing w:val="-2"/>
        </w:rPr>
        <w:t>fondos;</w:t>
      </w:r>
    </w:p>
    <w:p>
      <w:pPr>
        <w:pStyle w:val="BodyText"/>
        <w:spacing w:line="271" w:lineRule="auto" w:before="159"/>
        <w:ind w:left="963" w:right="865" w:hanging="10"/>
        <w:jc w:val="both"/>
      </w:pPr>
      <w:r>
        <w:rPr/>
        <w:pict>
          <v:line style="position:absolute;mso-position-horizontal-relative:page;mso-position-vertical-relative:paragraph;z-index:15742464" from="111.949997pt,102.581017pt" to="249.499997pt,102.581017pt" stroked="true" strokeweight=".96pt" strokecolor="#000000">
            <v:stroke dashstyle="shortdot"/>
            <w10:wrap type="none"/>
          </v:line>
        </w:pict>
      </w:r>
      <w:r>
        <w:rPr>
          <w:rFonts w:ascii="Segoe UI Symbol" w:hAnsi="Segoe UI Symbol"/>
          <w:color w:val="FF0000"/>
        </w:rPr>
        <w:t>→ </w:t>
      </w:r>
      <w:r>
        <w:rPr/>
        <w:t>que los procesos financieros sean adecuados, incluido un sólido control interno; que la teneduría de libros y la contabilidad estén de acuerdo con las prácticas de teneduría de libros y contabilidad generalmente aceptadas, y que los fondos del compromiso estarán sujetos a auditoría externa;</w:t>
      </w:r>
    </w:p>
    <w:p>
      <w:pPr>
        <w:spacing w:after="0" w:line="271" w:lineRule="auto"/>
        <w:jc w:val="both"/>
        <w:sectPr>
          <w:headerReference w:type="default" r:id="rId35"/>
          <w:footerReference w:type="default" r:id="rId36"/>
          <w:pgSz w:w="11910" w:h="16850"/>
          <w:pgMar w:header="718" w:footer="843" w:top="940" w:bottom="1040" w:left="1300" w:right="1400"/>
        </w:sectPr>
      </w:pPr>
    </w:p>
    <w:p>
      <w:pPr>
        <w:pStyle w:val="BodyText"/>
        <w:spacing w:line="268" w:lineRule="auto" w:before="182"/>
        <w:ind w:left="963" w:right="858" w:hanging="10"/>
        <w:jc w:val="both"/>
      </w:pPr>
      <w:r>
        <w:rPr>
          <w:rFonts w:ascii="Segoe UI Symbol" w:hAnsi="Segoe UI Symbol"/>
          <w:color w:val="FF0000"/>
        </w:rPr>
        <w:t>→ </w:t>
      </w:r>
      <w:r>
        <w:rPr/>
        <w:t>que el EP (</w:t>
      </w:r>
      <w:r>
        <w:rPr>
          <w:i/>
        </w:rPr>
        <w:t>siglas en inglés para Socio del Encargo</w:t>
      </w:r>
      <w:r>
        <w:rPr/>
        <w:t>) de los fondos, o las organizaciones que participan en el uso de los fondos, no estén incluidas en las listas de terroristas de la ONU o de la UE (ver </w:t>
      </w:r>
      <w:hyperlink r:id="rId39">
        <w:r>
          <w:rPr>
            <w:color w:val="0462C1"/>
            <w:u w:val="single" w:color="0462C1"/>
          </w:rPr>
          <w:t>www.um.dk</w:t>
        </w:r>
      </w:hyperlink>
      <w:r>
        <w:rPr>
          <w:color w:val="0462C1"/>
        </w:rPr>
        <w:t> </w:t>
      </w:r>
      <w:r>
        <w:rPr/>
        <w:t>);</w:t>
      </w:r>
    </w:p>
    <w:p>
      <w:pPr>
        <w:pStyle w:val="BodyText"/>
        <w:spacing w:line="268" w:lineRule="auto" w:before="131"/>
        <w:ind w:left="963" w:right="869" w:hanging="10"/>
        <w:jc w:val="both"/>
      </w:pPr>
      <w:r>
        <w:rPr>
          <w:rFonts w:ascii="Segoe UI Symbol" w:hAnsi="Segoe UI Symbol"/>
          <w:color w:val="FF0000"/>
        </w:rPr>
        <w:t>→ </w:t>
      </w:r>
      <w:r>
        <w:rPr/>
        <w:t>que el EP informará a la secretaría de DIPD en caso de que existan problemas de gravedad o irregularidades tan pronto como sea posible,</w:t>
      </w:r>
    </w:p>
    <w:p>
      <w:pPr>
        <w:pStyle w:val="BodyText"/>
        <w:spacing w:line="268" w:lineRule="auto" w:before="128"/>
        <w:ind w:left="963" w:right="859" w:hanging="10"/>
        <w:jc w:val="both"/>
      </w:pPr>
      <w:r>
        <w:rPr>
          <w:rFonts w:ascii="Segoe UI Symbol" w:hAnsi="Segoe UI Symbol"/>
          <w:color w:val="FF0000"/>
        </w:rPr>
        <w:t>→</w:t>
      </w:r>
      <w:r>
        <w:rPr>
          <w:rFonts w:ascii="Segoe UI Symbol" w:hAnsi="Segoe UI Symbol"/>
          <w:color w:val="FF0000"/>
          <w:spacing w:val="-12"/>
        </w:rPr>
        <w:t> </w:t>
      </w:r>
      <w:r>
        <w:rPr/>
        <w:t>que</w:t>
      </w:r>
      <w:r>
        <w:rPr>
          <w:spacing w:val="-14"/>
        </w:rPr>
        <w:t> </w:t>
      </w:r>
      <w:r>
        <w:rPr/>
        <w:t>el</w:t>
      </w:r>
      <w:r>
        <w:rPr>
          <w:spacing w:val="-12"/>
        </w:rPr>
        <w:t> </w:t>
      </w:r>
      <w:r>
        <w:rPr/>
        <w:t>EP</w:t>
      </w:r>
      <w:r>
        <w:rPr>
          <w:spacing w:val="-14"/>
        </w:rPr>
        <w:t> </w:t>
      </w:r>
      <w:r>
        <w:rPr/>
        <w:t>llevara</w:t>
      </w:r>
      <w:r>
        <w:rPr>
          <w:spacing w:val="-13"/>
        </w:rPr>
        <w:t> </w:t>
      </w:r>
      <w:r>
        <w:rPr/>
        <w:t>a</w:t>
      </w:r>
      <w:r>
        <w:rPr>
          <w:spacing w:val="-14"/>
        </w:rPr>
        <w:t> </w:t>
      </w:r>
      <w:r>
        <w:rPr/>
        <w:t>cabo</w:t>
      </w:r>
      <w:r>
        <w:rPr>
          <w:spacing w:val="-12"/>
        </w:rPr>
        <w:t> </w:t>
      </w:r>
      <w:r>
        <w:rPr/>
        <w:t>un</w:t>
      </w:r>
      <w:r>
        <w:rPr>
          <w:spacing w:val="-14"/>
        </w:rPr>
        <w:t> </w:t>
      </w:r>
      <w:r>
        <w:rPr/>
        <w:t>monitoreo</w:t>
      </w:r>
      <w:r>
        <w:rPr>
          <w:spacing w:val="-14"/>
        </w:rPr>
        <w:t> </w:t>
      </w:r>
      <w:r>
        <w:rPr/>
        <w:t>periódico</w:t>
      </w:r>
      <w:r>
        <w:rPr>
          <w:spacing w:val="-13"/>
        </w:rPr>
        <w:t> </w:t>
      </w:r>
      <w:r>
        <w:rPr/>
        <w:t>y</w:t>
      </w:r>
      <w:r>
        <w:rPr>
          <w:spacing w:val="-12"/>
        </w:rPr>
        <w:t> </w:t>
      </w:r>
      <w:r>
        <w:rPr/>
        <w:t>apropiado</w:t>
      </w:r>
      <w:r>
        <w:rPr>
          <w:spacing w:val="-14"/>
        </w:rPr>
        <w:t> </w:t>
      </w:r>
      <w:r>
        <w:rPr/>
        <w:t>de</w:t>
      </w:r>
      <w:r>
        <w:rPr>
          <w:spacing w:val="-14"/>
        </w:rPr>
        <w:t> </w:t>
      </w:r>
      <w:r>
        <w:rPr/>
        <w:t>la</w:t>
      </w:r>
      <w:r>
        <w:rPr>
          <w:spacing w:val="-12"/>
        </w:rPr>
        <w:t> </w:t>
      </w:r>
      <w:r>
        <w:rPr/>
        <w:t>implementación y</w:t>
      </w:r>
      <w:r>
        <w:rPr>
          <w:spacing w:val="-3"/>
        </w:rPr>
        <w:t> </w:t>
      </w:r>
      <w:r>
        <w:rPr/>
        <w:t>de</w:t>
      </w:r>
      <w:r>
        <w:rPr>
          <w:spacing w:val="-3"/>
        </w:rPr>
        <w:t> </w:t>
      </w:r>
      <w:r>
        <w:rPr/>
        <w:t>la</w:t>
      </w:r>
      <w:r>
        <w:rPr>
          <w:spacing w:val="-2"/>
        </w:rPr>
        <w:t> </w:t>
      </w:r>
      <w:r>
        <w:rPr/>
        <w:t>gestión</w:t>
      </w:r>
      <w:r>
        <w:rPr>
          <w:spacing w:val="-3"/>
        </w:rPr>
        <w:t> </w:t>
      </w:r>
      <w:r>
        <w:rPr/>
        <w:t>de</w:t>
      </w:r>
      <w:r>
        <w:rPr>
          <w:spacing w:val="-3"/>
        </w:rPr>
        <w:t> </w:t>
      </w:r>
      <w:r>
        <w:rPr/>
        <w:t>la</w:t>
      </w:r>
      <w:r>
        <w:rPr>
          <w:spacing w:val="-2"/>
        </w:rPr>
        <w:t> </w:t>
      </w:r>
      <w:r>
        <w:rPr/>
        <w:t>asociación</w:t>
      </w:r>
      <w:r>
        <w:rPr>
          <w:spacing w:val="-3"/>
        </w:rPr>
        <w:t> </w:t>
      </w:r>
      <w:r>
        <w:rPr/>
        <w:t>de</w:t>
      </w:r>
      <w:r>
        <w:rPr>
          <w:spacing w:val="-3"/>
        </w:rPr>
        <w:t> </w:t>
      </w:r>
      <w:r>
        <w:rPr/>
        <w:t>partidos,</w:t>
      </w:r>
      <w:r>
        <w:rPr>
          <w:spacing w:val="-4"/>
        </w:rPr>
        <w:t> </w:t>
      </w:r>
      <w:r>
        <w:rPr/>
        <w:t>y</w:t>
      </w:r>
      <w:r>
        <w:rPr>
          <w:spacing w:val="-1"/>
        </w:rPr>
        <w:t> </w:t>
      </w:r>
      <w:r>
        <w:rPr/>
        <w:t>de</w:t>
      </w:r>
      <w:r>
        <w:rPr>
          <w:spacing w:val="-3"/>
        </w:rPr>
        <w:t> </w:t>
      </w:r>
      <w:r>
        <w:rPr/>
        <w:t>la</w:t>
      </w:r>
      <w:r>
        <w:rPr>
          <w:spacing w:val="-2"/>
        </w:rPr>
        <w:t> </w:t>
      </w:r>
      <w:r>
        <w:rPr/>
        <w:t>gestión de</w:t>
      </w:r>
      <w:r>
        <w:rPr>
          <w:spacing w:val="-3"/>
        </w:rPr>
        <w:t> </w:t>
      </w:r>
      <w:r>
        <w:rPr/>
        <w:t>los</w:t>
      </w:r>
      <w:r>
        <w:rPr>
          <w:spacing w:val="-1"/>
        </w:rPr>
        <w:t> </w:t>
      </w:r>
      <w:r>
        <w:rPr/>
        <w:t>fondos</w:t>
      </w:r>
      <w:r>
        <w:rPr>
          <w:spacing w:val="-1"/>
        </w:rPr>
        <w:t> </w:t>
      </w:r>
      <w:r>
        <w:rPr/>
        <w:t>del</w:t>
      </w:r>
      <w:r>
        <w:rPr>
          <w:spacing w:val="-3"/>
        </w:rPr>
        <w:t> </w:t>
      </w:r>
      <w:r>
        <w:rPr/>
        <w:t>socio, incluyendo la capacidad del socio para desarrollar estas tareas;</w:t>
      </w:r>
    </w:p>
    <w:p>
      <w:pPr>
        <w:pStyle w:val="BodyText"/>
        <w:spacing w:line="268" w:lineRule="auto" w:before="130"/>
        <w:ind w:left="963" w:right="868" w:hanging="10"/>
        <w:jc w:val="both"/>
      </w:pPr>
      <w:r>
        <w:rPr>
          <w:rFonts w:ascii="Segoe UI Symbol" w:hAnsi="Segoe UI Symbol"/>
          <w:color w:val="FF0000"/>
        </w:rPr>
        <w:t>→ </w:t>
      </w:r>
      <w:r>
        <w:rPr/>
        <w:t>que el EP presentará informes y cuentas auditadas respetando las fechas límite de entrega</w:t>
      </w:r>
    </w:p>
    <w:p>
      <w:pPr>
        <w:pStyle w:val="BodyText"/>
        <w:rPr>
          <w:sz w:val="22"/>
        </w:rPr>
      </w:pPr>
    </w:p>
    <w:p>
      <w:pPr>
        <w:pStyle w:val="BodyText"/>
        <w:spacing w:before="8"/>
        <w:rPr>
          <w:sz w:val="22"/>
        </w:rPr>
      </w:pPr>
    </w:p>
    <w:p>
      <w:pPr>
        <w:pStyle w:val="Heading2"/>
        <w:numPr>
          <w:ilvl w:val="1"/>
          <w:numId w:val="4"/>
        </w:numPr>
        <w:tabs>
          <w:tab w:pos="975" w:val="left" w:leader="none"/>
          <w:tab w:pos="976" w:val="left" w:leader="none"/>
        </w:tabs>
        <w:spacing w:line="240" w:lineRule="auto" w:before="0" w:after="0"/>
        <w:ind w:left="975" w:right="0" w:hanging="874"/>
        <w:jc w:val="left"/>
      </w:pPr>
      <w:bookmarkStart w:name="_TOC_250013" w:id="20"/>
      <w:r>
        <w:rPr>
          <w:color w:val="FF0000"/>
        </w:rPr>
        <w:t>PRINCIPIOS</w:t>
      </w:r>
      <w:r>
        <w:rPr>
          <w:color w:val="FF0000"/>
          <w:spacing w:val="-8"/>
        </w:rPr>
        <w:t> </w:t>
      </w:r>
      <w:r>
        <w:rPr>
          <w:color w:val="FF0000"/>
        </w:rPr>
        <w:t>DE</w:t>
      </w:r>
      <w:r>
        <w:rPr>
          <w:color w:val="FF0000"/>
          <w:spacing w:val="-8"/>
        </w:rPr>
        <w:t> </w:t>
      </w:r>
      <w:r>
        <w:rPr>
          <w:color w:val="FF0000"/>
        </w:rPr>
        <w:t>ANTI-</w:t>
      </w:r>
      <w:bookmarkEnd w:id="20"/>
      <w:r>
        <w:rPr>
          <w:color w:val="FF0000"/>
          <w:spacing w:val="-2"/>
        </w:rPr>
        <w:t>CORRUPCIÓN</w:t>
      </w:r>
    </w:p>
    <w:p>
      <w:pPr>
        <w:pStyle w:val="BodyText"/>
        <w:spacing w:line="268" w:lineRule="auto" w:before="186"/>
        <w:ind w:left="963" w:right="860" w:hanging="10"/>
        <w:jc w:val="both"/>
      </w:pPr>
      <w:r>
        <w:rPr/>
        <w:t>Toda</w:t>
      </w:r>
      <w:r>
        <w:rPr>
          <w:spacing w:val="-6"/>
        </w:rPr>
        <w:t> </w:t>
      </w:r>
      <w:r>
        <w:rPr/>
        <w:t>la</w:t>
      </w:r>
      <w:r>
        <w:rPr>
          <w:spacing w:val="-7"/>
        </w:rPr>
        <w:t> </w:t>
      </w:r>
      <w:r>
        <w:rPr/>
        <w:t>gestión</w:t>
      </w:r>
      <w:r>
        <w:rPr>
          <w:spacing w:val="-8"/>
        </w:rPr>
        <w:t> </w:t>
      </w:r>
      <w:r>
        <w:rPr/>
        <w:t>del</w:t>
      </w:r>
      <w:r>
        <w:rPr>
          <w:spacing w:val="-7"/>
        </w:rPr>
        <w:t> </w:t>
      </w:r>
      <w:r>
        <w:rPr/>
        <w:t>EP</w:t>
      </w:r>
      <w:r>
        <w:rPr>
          <w:spacing w:val="-6"/>
        </w:rPr>
        <w:t> </w:t>
      </w:r>
      <w:r>
        <w:rPr/>
        <w:t>(</w:t>
      </w:r>
      <w:r>
        <w:rPr>
          <w:i/>
        </w:rPr>
        <w:t>siglas</w:t>
      </w:r>
      <w:r>
        <w:rPr>
          <w:i/>
          <w:spacing w:val="-7"/>
        </w:rPr>
        <w:t> </w:t>
      </w:r>
      <w:r>
        <w:rPr>
          <w:i/>
        </w:rPr>
        <w:t>en</w:t>
      </w:r>
      <w:r>
        <w:rPr>
          <w:i/>
          <w:spacing w:val="-6"/>
        </w:rPr>
        <w:t> </w:t>
      </w:r>
      <w:r>
        <w:rPr>
          <w:i/>
        </w:rPr>
        <w:t>inglés</w:t>
      </w:r>
      <w:r>
        <w:rPr>
          <w:i/>
          <w:spacing w:val="-7"/>
        </w:rPr>
        <w:t> </w:t>
      </w:r>
      <w:r>
        <w:rPr>
          <w:i/>
        </w:rPr>
        <w:t>para</w:t>
      </w:r>
      <w:r>
        <w:rPr>
          <w:i/>
          <w:spacing w:val="-6"/>
        </w:rPr>
        <w:t> </w:t>
      </w:r>
      <w:r>
        <w:rPr>
          <w:i/>
        </w:rPr>
        <w:t>Socio</w:t>
      </w:r>
      <w:r>
        <w:rPr>
          <w:i/>
          <w:spacing w:val="-6"/>
        </w:rPr>
        <w:t> </w:t>
      </w:r>
      <w:r>
        <w:rPr>
          <w:i/>
        </w:rPr>
        <w:t>del</w:t>
      </w:r>
      <w:r>
        <w:rPr>
          <w:i/>
          <w:spacing w:val="-7"/>
        </w:rPr>
        <w:t> </w:t>
      </w:r>
      <w:r>
        <w:rPr>
          <w:i/>
        </w:rPr>
        <w:t>Encargo</w:t>
      </w:r>
      <w:r>
        <w:rPr/>
        <w:t>)</w:t>
      </w:r>
      <w:r>
        <w:rPr>
          <w:spacing w:val="-6"/>
        </w:rPr>
        <w:t> </w:t>
      </w:r>
      <w:r>
        <w:rPr/>
        <w:t>de</w:t>
      </w:r>
      <w:r>
        <w:rPr>
          <w:spacing w:val="-6"/>
        </w:rPr>
        <w:t> </w:t>
      </w:r>
      <w:r>
        <w:rPr/>
        <w:t>fondos</w:t>
      </w:r>
      <w:r>
        <w:rPr>
          <w:spacing w:val="-6"/>
        </w:rPr>
        <w:t> </w:t>
      </w:r>
      <w:r>
        <w:rPr/>
        <w:t>de</w:t>
      </w:r>
      <w:r>
        <w:rPr>
          <w:spacing w:val="-6"/>
        </w:rPr>
        <w:t> </w:t>
      </w:r>
      <w:r>
        <w:rPr/>
        <w:t>DIPD debe cumplir con los principios de anticorrupción del Ministerio de Relaciones Exteriores de Dinamarca. El EP también debe estar preparado para firmar una cláusula</w:t>
      </w:r>
      <w:r>
        <w:rPr>
          <w:spacing w:val="-12"/>
        </w:rPr>
        <w:t> </w:t>
      </w:r>
      <w:r>
        <w:rPr/>
        <w:t>anticorrupción</w:t>
      </w:r>
      <w:r>
        <w:rPr>
          <w:spacing w:val="-9"/>
        </w:rPr>
        <w:t> </w:t>
      </w:r>
      <w:r>
        <w:rPr/>
        <w:t>incluida</w:t>
      </w:r>
      <w:r>
        <w:rPr>
          <w:spacing w:val="-12"/>
        </w:rPr>
        <w:t> </w:t>
      </w:r>
      <w:r>
        <w:rPr/>
        <w:t>en</w:t>
      </w:r>
      <w:r>
        <w:rPr>
          <w:spacing w:val="-9"/>
        </w:rPr>
        <w:t> </w:t>
      </w:r>
      <w:r>
        <w:rPr/>
        <w:t>el</w:t>
      </w:r>
      <w:r>
        <w:rPr>
          <w:spacing w:val="-10"/>
        </w:rPr>
        <w:t> </w:t>
      </w:r>
      <w:r>
        <w:rPr/>
        <w:t>acuerdo</w:t>
      </w:r>
      <w:r>
        <w:rPr>
          <w:spacing w:val="-12"/>
        </w:rPr>
        <w:t> </w:t>
      </w:r>
      <w:r>
        <w:rPr/>
        <w:t>de</w:t>
      </w:r>
      <w:r>
        <w:rPr>
          <w:spacing w:val="-10"/>
        </w:rPr>
        <w:t> </w:t>
      </w:r>
      <w:r>
        <w:rPr/>
        <w:t>cooperación</w:t>
      </w:r>
      <w:r>
        <w:rPr>
          <w:spacing w:val="-12"/>
        </w:rPr>
        <w:t> </w:t>
      </w:r>
      <w:r>
        <w:rPr/>
        <w:t>con</w:t>
      </w:r>
      <w:r>
        <w:rPr>
          <w:spacing w:val="-12"/>
        </w:rPr>
        <w:t> </w:t>
      </w:r>
      <w:r>
        <w:rPr/>
        <w:t>el</w:t>
      </w:r>
      <w:r>
        <w:rPr>
          <w:spacing w:val="-6"/>
        </w:rPr>
        <w:t> </w:t>
      </w:r>
      <w:r>
        <w:rPr/>
        <w:t>siguiente</w:t>
      </w:r>
      <w:r>
        <w:rPr>
          <w:spacing w:val="-12"/>
        </w:rPr>
        <w:t> </w:t>
      </w:r>
      <w:r>
        <w:rPr/>
        <w:t>texto:</w:t>
      </w:r>
    </w:p>
    <w:p>
      <w:pPr>
        <w:spacing w:line="271" w:lineRule="auto" w:before="129"/>
        <w:ind w:left="963" w:right="860" w:hanging="10"/>
        <w:jc w:val="both"/>
        <w:rPr>
          <w:i/>
          <w:sz w:val="20"/>
        </w:rPr>
      </w:pPr>
      <w:r>
        <w:rPr>
          <w:i/>
          <w:sz w:val="20"/>
        </w:rPr>
        <w:t>”</w:t>
      </w:r>
      <w:r>
        <w:rPr>
          <w:i/>
          <w:spacing w:val="-9"/>
          <w:sz w:val="20"/>
        </w:rPr>
        <w:t> </w:t>
      </w:r>
      <w:r>
        <w:rPr>
          <w:i/>
          <w:sz w:val="20"/>
        </w:rPr>
        <w:t>No</w:t>
      </w:r>
      <w:r>
        <w:rPr>
          <w:i/>
          <w:spacing w:val="-10"/>
          <w:sz w:val="20"/>
        </w:rPr>
        <w:t> </w:t>
      </w:r>
      <w:r>
        <w:rPr>
          <w:i/>
          <w:sz w:val="20"/>
        </w:rPr>
        <w:t>offer,</w:t>
      </w:r>
      <w:r>
        <w:rPr>
          <w:i/>
          <w:spacing w:val="-8"/>
          <w:sz w:val="20"/>
        </w:rPr>
        <w:t> </w:t>
      </w:r>
      <w:r>
        <w:rPr>
          <w:i/>
          <w:sz w:val="20"/>
        </w:rPr>
        <w:t>payment,</w:t>
      </w:r>
      <w:r>
        <w:rPr>
          <w:i/>
          <w:spacing w:val="-8"/>
          <w:sz w:val="20"/>
        </w:rPr>
        <w:t> </w:t>
      </w:r>
      <w:r>
        <w:rPr>
          <w:i/>
          <w:sz w:val="20"/>
        </w:rPr>
        <w:t>consideration</w:t>
      </w:r>
      <w:r>
        <w:rPr>
          <w:i/>
          <w:spacing w:val="-8"/>
          <w:sz w:val="20"/>
        </w:rPr>
        <w:t> </w:t>
      </w:r>
      <w:r>
        <w:rPr>
          <w:i/>
          <w:sz w:val="20"/>
        </w:rPr>
        <w:t>or</w:t>
      </w:r>
      <w:r>
        <w:rPr>
          <w:i/>
          <w:spacing w:val="-10"/>
          <w:sz w:val="20"/>
        </w:rPr>
        <w:t> </w:t>
      </w:r>
      <w:r>
        <w:rPr>
          <w:i/>
          <w:sz w:val="20"/>
        </w:rPr>
        <w:t>benefit</w:t>
      </w:r>
      <w:r>
        <w:rPr>
          <w:i/>
          <w:spacing w:val="-8"/>
          <w:sz w:val="20"/>
        </w:rPr>
        <w:t> </w:t>
      </w:r>
      <w:r>
        <w:rPr>
          <w:i/>
          <w:sz w:val="20"/>
        </w:rPr>
        <w:t>of</w:t>
      </w:r>
      <w:r>
        <w:rPr>
          <w:i/>
          <w:spacing w:val="-8"/>
          <w:sz w:val="20"/>
        </w:rPr>
        <w:t> </w:t>
      </w:r>
      <w:r>
        <w:rPr>
          <w:i/>
          <w:sz w:val="20"/>
        </w:rPr>
        <w:t>any</w:t>
      </w:r>
      <w:r>
        <w:rPr>
          <w:i/>
          <w:spacing w:val="-9"/>
          <w:sz w:val="20"/>
        </w:rPr>
        <w:t> </w:t>
      </w:r>
      <w:r>
        <w:rPr>
          <w:i/>
          <w:sz w:val="20"/>
        </w:rPr>
        <w:t>kind,</w:t>
      </w:r>
      <w:r>
        <w:rPr>
          <w:i/>
          <w:spacing w:val="-11"/>
          <w:sz w:val="20"/>
        </w:rPr>
        <w:t> </w:t>
      </w:r>
      <w:r>
        <w:rPr>
          <w:i/>
          <w:sz w:val="20"/>
        </w:rPr>
        <w:t>which</w:t>
      </w:r>
      <w:r>
        <w:rPr>
          <w:i/>
          <w:spacing w:val="-11"/>
          <w:sz w:val="20"/>
        </w:rPr>
        <w:t> </w:t>
      </w:r>
      <w:r>
        <w:rPr>
          <w:i/>
          <w:sz w:val="20"/>
        </w:rPr>
        <w:t>could</w:t>
      </w:r>
      <w:r>
        <w:rPr>
          <w:i/>
          <w:spacing w:val="-11"/>
          <w:sz w:val="20"/>
        </w:rPr>
        <w:t> </w:t>
      </w:r>
      <w:r>
        <w:rPr>
          <w:i/>
          <w:sz w:val="20"/>
        </w:rPr>
        <w:t>be</w:t>
      </w:r>
      <w:r>
        <w:rPr>
          <w:i/>
          <w:spacing w:val="-11"/>
          <w:sz w:val="20"/>
        </w:rPr>
        <w:t> </w:t>
      </w:r>
      <w:r>
        <w:rPr>
          <w:i/>
          <w:sz w:val="20"/>
        </w:rPr>
        <w:t>regarded</w:t>
      </w:r>
      <w:r>
        <w:rPr>
          <w:i/>
          <w:spacing w:val="-8"/>
          <w:sz w:val="20"/>
        </w:rPr>
        <w:t> </w:t>
      </w:r>
      <w:r>
        <w:rPr>
          <w:i/>
          <w:sz w:val="20"/>
        </w:rPr>
        <w:t>as</w:t>
      </w:r>
      <w:r>
        <w:rPr>
          <w:i/>
          <w:sz w:val="20"/>
        </w:rPr>
        <w:t> an</w:t>
      </w:r>
      <w:r>
        <w:rPr>
          <w:i/>
          <w:spacing w:val="-5"/>
          <w:sz w:val="20"/>
        </w:rPr>
        <w:t> </w:t>
      </w:r>
      <w:r>
        <w:rPr>
          <w:i/>
          <w:sz w:val="20"/>
        </w:rPr>
        <w:t>illegal</w:t>
      </w:r>
      <w:r>
        <w:rPr>
          <w:i/>
          <w:spacing w:val="-5"/>
          <w:sz w:val="20"/>
        </w:rPr>
        <w:t> </w:t>
      </w:r>
      <w:r>
        <w:rPr>
          <w:i/>
          <w:sz w:val="20"/>
        </w:rPr>
        <w:t>or</w:t>
      </w:r>
      <w:r>
        <w:rPr>
          <w:i/>
          <w:spacing w:val="-4"/>
          <w:sz w:val="20"/>
        </w:rPr>
        <w:t> </w:t>
      </w:r>
      <w:r>
        <w:rPr>
          <w:i/>
          <w:sz w:val="20"/>
        </w:rPr>
        <w:t>corrupt</w:t>
      </w:r>
      <w:r>
        <w:rPr>
          <w:i/>
          <w:spacing w:val="-4"/>
          <w:sz w:val="20"/>
        </w:rPr>
        <w:t> </w:t>
      </w:r>
      <w:r>
        <w:rPr>
          <w:i/>
          <w:sz w:val="20"/>
        </w:rPr>
        <w:t>practice,</w:t>
      </w:r>
      <w:r>
        <w:rPr>
          <w:i/>
          <w:spacing w:val="-4"/>
          <w:sz w:val="20"/>
        </w:rPr>
        <w:t> </w:t>
      </w:r>
      <w:r>
        <w:rPr>
          <w:i/>
          <w:sz w:val="20"/>
        </w:rPr>
        <w:t>shall</w:t>
      </w:r>
      <w:r>
        <w:rPr>
          <w:i/>
          <w:spacing w:val="-5"/>
          <w:sz w:val="20"/>
        </w:rPr>
        <w:t> </w:t>
      </w:r>
      <w:r>
        <w:rPr>
          <w:i/>
          <w:sz w:val="20"/>
        </w:rPr>
        <w:t>be</w:t>
      </w:r>
      <w:r>
        <w:rPr>
          <w:i/>
          <w:spacing w:val="-4"/>
          <w:sz w:val="20"/>
        </w:rPr>
        <w:t> </w:t>
      </w:r>
      <w:r>
        <w:rPr>
          <w:i/>
          <w:sz w:val="20"/>
        </w:rPr>
        <w:t>made,</w:t>
      </w:r>
      <w:r>
        <w:rPr>
          <w:i/>
          <w:spacing w:val="-4"/>
          <w:sz w:val="20"/>
        </w:rPr>
        <w:t> </w:t>
      </w:r>
      <w:r>
        <w:rPr>
          <w:i/>
          <w:sz w:val="20"/>
        </w:rPr>
        <w:t>promised,</w:t>
      </w:r>
      <w:r>
        <w:rPr>
          <w:i/>
          <w:spacing w:val="-5"/>
          <w:sz w:val="20"/>
        </w:rPr>
        <w:t> </w:t>
      </w:r>
      <w:r>
        <w:rPr>
          <w:i/>
          <w:sz w:val="20"/>
        </w:rPr>
        <w:t>sought</w:t>
      </w:r>
      <w:r>
        <w:rPr>
          <w:i/>
          <w:spacing w:val="-4"/>
          <w:sz w:val="20"/>
        </w:rPr>
        <w:t> </w:t>
      </w:r>
      <w:r>
        <w:rPr>
          <w:i/>
          <w:sz w:val="20"/>
        </w:rPr>
        <w:t>or</w:t>
      </w:r>
      <w:r>
        <w:rPr>
          <w:i/>
          <w:spacing w:val="-3"/>
          <w:sz w:val="20"/>
        </w:rPr>
        <w:t> </w:t>
      </w:r>
      <w:r>
        <w:rPr>
          <w:i/>
          <w:sz w:val="20"/>
        </w:rPr>
        <w:t>accepted –</w:t>
      </w:r>
      <w:r>
        <w:rPr>
          <w:i/>
          <w:spacing w:val="-4"/>
          <w:sz w:val="20"/>
        </w:rPr>
        <w:t> </w:t>
      </w:r>
      <w:r>
        <w:rPr>
          <w:i/>
          <w:sz w:val="20"/>
        </w:rPr>
        <w:t>neither directly nor indirectly – as an inducement or reward in relation to activities funded under this agreement, incl. tendering, award or execution of contracts. Any such practice will be grounds for the immediate cancellation of this agreement/contract and for such additional action, civil and/or criminal, as may be appropriate. At the discretion of the Danish Ministry of Foreign Affairs, a further consequence of any such practice can be the definite exclusion from any tendering for engagements, funded by the Danish Ministry of Foreign Affairs”.</w:t>
      </w:r>
    </w:p>
    <w:p>
      <w:pPr>
        <w:pStyle w:val="BodyText"/>
        <w:rPr>
          <w:i/>
          <w:sz w:val="22"/>
        </w:rPr>
      </w:pPr>
    </w:p>
    <w:p>
      <w:pPr>
        <w:pStyle w:val="BodyText"/>
        <w:spacing w:before="8"/>
        <w:rPr>
          <w:i/>
          <w:sz w:val="21"/>
        </w:rPr>
      </w:pPr>
    </w:p>
    <w:p>
      <w:pPr>
        <w:pStyle w:val="BodyText"/>
        <w:spacing w:before="1"/>
        <w:ind w:left="954"/>
        <w:jc w:val="both"/>
      </w:pPr>
      <w:r>
        <w:rPr/>
        <w:t>En</w:t>
      </w:r>
      <w:r>
        <w:rPr>
          <w:spacing w:val="-5"/>
        </w:rPr>
        <w:t> </w:t>
      </w:r>
      <w:r>
        <w:rPr>
          <w:spacing w:val="-2"/>
        </w:rPr>
        <w:t>español:</w:t>
      </w:r>
    </w:p>
    <w:p>
      <w:pPr>
        <w:pStyle w:val="BodyText"/>
        <w:spacing w:line="271" w:lineRule="auto" w:before="154"/>
        <w:ind w:left="963" w:right="861" w:hanging="10"/>
        <w:jc w:val="both"/>
      </w:pPr>
      <w:r>
        <w:rPr/>
        <w:t>” Ninguna oferta, pago, contraprestación o beneficio de ningún tipo, que pueda considerarse</w:t>
      </w:r>
      <w:r>
        <w:rPr>
          <w:spacing w:val="-9"/>
        </w:rPr>
        <w:t> </w:t>
      </w:r>
      <w:r>
        <w:rPr/>
        <w:t>una</w:t>
      </w:r>
      <w:r>
        <w:rPr>
          <w:spacing w:val="-9"/>
        </w:rPr>
        <w:t> </w:t>
      </w:r>
      <w:r>
        <w:rPr/>
        <w:t>práctica</w:t>
      </w:r>
      <w:r>
        <w:rPr>
          <w:spacing w:val="-9"/>
        </w:rPr>
        <w:t> </w:t>
      </w:r>
      <w:r>
        <w:rPr/>
        <w:t>ilegal</w:t>
      </w:r>
      <w:r>
        <w:rPr>
          <w:spacing w:val="-12"/>
        </w:rPr>
        <w:t> </w:t>
      </w:r>
      <w:r>
        <w:rPr/>
        <w:t>o</w:t>
      </w:r>
      <w:r>
        <w:rPr>
          <w:spacing w:val="-9"/>
        </w:rPr>
        <w:t> </w:t>
      </w:r>
      <w:r>
        <w:rPr/>
        <w:t>corrupta,</w:t>
      </w:r>
      <w:r>
        <w:rPr>
          <w:spacing w:val="-12"/>
        </w:rPr>
        <w:t> </w:t>
      </w:r>
      <w:r>
        <w:rPr/>
        <w:t>se</w:t>
      </w:r>
      <w:r>
        <w:rPr>
          <w:spacing w:val="-9"/>
        </w:rPr>
        <w:t> </w:t>
      </w:r>
      <w:r>
        <w:rPr/>
        <w:t>hará,</w:t>
      </w:r>
      <w:r>
        <w:rPr>
          <w:spacing w:val="-9"/>
        </w:rPr>
        <w:t> </w:t>
      </w:r>
      <w:r>
        <w:rPr/>
        <w:t>prometerá,</w:t>
      </w:r>
      <w:r>
        <w:rPr>
          <w:spacing w:val="-9"/>
        </w:rPr>
        <w:t> </w:t>
      </w:r>
      <w:r>
        <w:rPr/>
        <w:t>buscará</w:t>
      </w:r>
      <w:r>
        <w:rPr>
          <w:spacing w:val="-9"/>
        </w:rPr>
        <w:t> </w:t>
      </w:r>
      <w:r>
        <w:rPr/>
        <w:t>o</w:t>
      </w:r>
      <w:r>
        <w:rPr>
          <w:spacing w:val="-9"/>
        </w:rPr>
        <w:t> </w:t>
      </w:r>
      <w:r>
        <w:rPr/>
        <w:t>aceptará, ni directa ni indirectamente, como incentivo o recompensa en relación con actividades financiadas por este acuerdo, incl. licitación, adjudicación o ejecución de contratos. Cualquier práctica de este tipo será motivo para la cancelación inmediata de este acuerdo / contrato y para cualquier acción adicional, civil y / o criminal,</w:t>
      </w:r>
      <w:r>
        <w:rPr>
          <w:spacing w:val="-4"/>
        </w:rPr>
        <w:t> </w:t>
      </w:r>
      <w:r>
        <w:rPr/>
        <w:t>según</w:t>
      </w:r>
      <w:r>
        <w:rPr>
          <w:spacing w:val="-5"/>
        </w:rPr>
        <w:t> </w:t>
      </w:r>
      <w:r>
        <w:rPr/>
        <w:t>sea</w:t>
      </w:r>
      <w:r>
        <w:rPr>
          <w:spacing w:val="-5"/>
        </w:rPr>
        <w:t> </w:t>
      </w:r>
      <w:r>
        <w:rPr/>
        <w:t>apropiado.</w:t>
      </w:r>
      <w:r>
        <w:rPr>
          <w:spacing w:val="-4"/>
        </w:rPr>
        <w:t> </w:t>
      </w:r>
      <w:r>
        <w:rPr/>
        <w:t>A</w:t>
      </w:r>
      <w:r>
        <w:rPr>
          <w:spacing w:val="-5"/>
        </w:rPr>
        <w:t> </w:t>
      </w:r>
      <w:r>
        <w:rPr/>
        <w:t>discreción</w:t>
      </w:r>
      <w:r>
        <w:rPr>
          <w:spacing w:val="-5"/>
        </w:rPr>
        <w:t> </w:t>
      </w:r>
      <w:r>
        <w:rPr/>
        <w:t>del</w:t>
      </w:r>
      <w:r>
        <w:rPr>
          <w:spacing w:val="-5"/>
        </w:rPr>
        <w:t> </w:t>
      </w:r>
      <w:r>
        <w:rPr/>
        <w:t>Ministerio</w:t>
      </w:r>
      <w:r>
        <w:rPr>
          <w:spacing w:val="-4"/>
        </w:rPr>
        <w:t> </w:t>
      </w:r>
      <w:r>
        <w:rPr/>
        <w:t>de</w:t>
      </w:r>
      <w:r>
        <w:rPr>
          <w:spacing w:val="-4"/>
        </w:rPr>
        <w:t> </w:t>
      </w:r>
      <w:r>
        <w:rPr/>
        <w:t>Asuntos</w:t>
      </w:r>
      <w:r>
        <w:rPr>
          <w:spacing w:val="-4"/>
        </w:rPr>
        <w:t> </w:t>
      </w:r>
      <w:r>
        <w:rPr/>
        <w:t>Exteriores</w:t>
      </w:r>
      <w:r>
        <w:rPr>
          <w:spacing w:val="-4"/>
        </w:rPr>
        <w:t> </w:t>
      </w:r>
      <w:r>
        <w:rPr/>
        <w:t>de Dinamarca, una consecuencia adicional de dicha práctica puede ser la exclusión definitiva de cualquier licitación de contratos financiada por el Ministerio de Relaciones Exteriores de Dinamarca”.</w:t>
      </w:r>
    </w:p>
    <w:p>
      <w:pPr>
        <w:pStyle w:val="BodyText"/>
        <w:rPr>
          <w:sz w:val="22"/>
        </w:rPr>
      </w:pPr>
    </w:p>
    <w:p>
      <w:pPr>
        <w:pStyle w:val="BodyText"/>
        <w:spacing w:before="5"/>
        <w:rPr>
          <w:sz w:val="21"/>
        </w:rPr>
      </w:pPr>
    </w:p>
    <w:p>
      <w:pPr>
        <w:pStyle w:val="BodyText"/>
        <w:spacing w:line="268" w:lineRule="auto"/>
        <w:ind w:left="963" w:right="866" w:hanging="10"/>
        <w:jc w:val="both"/>
      </w:pPr>
      <w:r>
        <w:rPr/>
        <w:t>Es</w:t>
      </w:r>
      <w:r>
        <w:rPr>
          <w:spacing w:val="-9"/>
        </w:rPr>
        <w:t> </w:t>
      </w:r>
      <w:r>
        <w:rPr/>
        <w:t>responsabilidad</w:t>
      </w:r>
      <w:r>
        <w:rPr>
          <w:spacing w:val="-8"/>
        </w:rPr>
        <w:t> </w:t>
      </w:r>
      <w:r>
        <w:rPr/>
        <w:t>del</w:t>
      </w:r>
      <w:r>
        <w:rPr>
          <w:spacing w:val="-8"/>
        </w:rPr>
        <w:t> </w:t>
      </w:r>
      <w:r>
        <w:rPr/>
        <w:t>partido</w:t>
      </w:r>
      <w:r>
        <w:rPr>
          <w:spacing w:val="-8"/>
        </w:rPr>
        <w:t> </w:t>
      </w:r>
      <w:r>
        <w:rPr/>
        <w:t>danés</w:t>
      </w:r>
      <w:r>
        <w:rPr>
          <w:spacing w:val="-9"/>
        </w:rPr>
        <w:t> </w:t>
      </w:r>
      <w:r>
        <w:rPr/>
        <w:t>garantizar</w:t>
      </w:r>
      <w:r>
        <w:rPr>
          <w:spacing w:val="-7"/>
        </w:rPr>
        <w:t> </w:t>
      </w:r>
      <w:r>
        <w:rPr/>
        <w:t>lo</w:t>
      </w:r>
      <w:r>
        <w:rPr>
          <w:spacing w:val="-8"/>
        </w:rPr>
        <w:t> </w:t>
      </w:r>
      <w:r>
        <w:rPr/>
        <w:t>explicado</w:t>
      </w:r>
      <w:r>
        <w:rPr>
          <w:spacing w:val="-8"/>
        </w:rPr>
        <w:t> </w:t>
      </w:r>
      <w:r>
        <w:rPr/>
        <w:t>previamente.</w:t>
      </w:r>
      <w:r>
        <w:rPr>
          <w:spacing w:val="-8"/>
        </w:rPr>
        <w:t> </w:t>
      </w:r>
      <w:r>
        <w:rPr/>
        <w:t>Al</w:t>
      </w:r>
      <w:r>
        <w:rPr>
          <w:spacing w:val="-8"/>
        </w:rPr>
        <w:t> </w:t>
      </w:r>
      <w:r>
        <w:rPr/>
        <w:t>mismo tiempo, el partido danés se asegurará de que su socio del Sur tenga la capacidad administrativa</w:t>
      </w:r>
      <w:r>
        <w:rPr>
          <w:spacing w:val="-7"/>
        </w:rPr>
        <w:t> </w:t>
      </w:r>
      <w:r>
        <w:rPr/>
        <w:t>necesaria</w:t>
      </w:r>
      <w:r>
        <w:rPr>
          <w:spacing w:val="-9"/>
        </w:rPr>
        <w:t> </w:t>
      </w:r>
      <w:r>
        <w:rPr/>
        <w:t>para</w:t>
      </w:r>
      <w:r>
        <w:rPr>
          <w:spacing w:val="-9"/>
        </w:rPr>
        <w:t> </w:t>
      </w:r>
      <w:r>
        <w:rPr/>
        <w:t>llevar</w:t>
      </w:r>
      <w:r>
        <w:rPr>
          <w:spacing w:val="-8"/>
        </w:rPr>
        <w:t> </w:t>
      </w:r>
      <w:r>
        <w:rPr/>
        <w:t>a</w:t>
      </w:r>
      <w:r>
        <w:rPr>
          <w:spacing w:val="-9"/>
        </w:rPr>
        <w:t> </w:t>
      </w:r>
      <w:r>
        <w:rPr/>
        <w:t>cabo</w:t>
      </w:r>
      <w:r>
        <w:rPr>
          <w:spacing w:val="-7"/>
        </w:rPr>
        <w:t> </w:t>
      </w:r>
      <w:r>
        <w:rPr/>
        <w:t>una</w:t>
      </w:r>
      <w:r>
        <w:rPr>
          <w:spacing w:val="-9"/>
        </w:rPr>
        <w:t> </w:t>
      </w:r>
      <w:r>
        <w:rPr/>
        <w:t>gestión</w:t>
      </w:r>
      <w:r>
        <w:rPr>
          <w:spacing w:val="-7"/>
        </w:rPr>
        <w:t> </w:t>
      </w:r>
      <w:r>
        <w:rPr/>
        <w:t>de</w:t>
      </w:r>
      <w:r>
        <w:rPr>
          <w:spacing w:val="-9"/>
        </w:rPr>
        <w:t> </w:t>
      </w:r>
      <w:r>
        <w:rPr/>
        <w:t>calidad</w:t>
      </w:r>
      <w:r>
        <w:rPr>
          <w:spacing w:val="-7"/>
        </w:rPr>
        <w:t> </w:t>
      </w:r>
      <w:r>
        <w:rPr/>
        <w:t>y</w:t>
      </w:r>
      <w:r>
        <w:rPr>
          <w:spacing w:val="-8"/>
        </w:rPr>
        <w:t> </w:t>
      </w:r>
      <w:r>
        <w:rPr/>
        <w:t>adecuada</w:t>
      </w:r>
      <w:r>
        <w:rPr>
          <w:spacing w:val="-9"/>
        </w:rPr>
        <w:t> </w:t>
      </w:r>
      <w:r>
        <w:rPr/>
        <w:t>de</w:t>
      </w:r>
      <w:r>
        <w:rPr>
          <w:spacing w:val="-7"/>
        </w:rPr>
        <w:t> </w:t>
      </w:r>
      <w:r>
        <w:rPr/>
        <w:t>la subvención asignada.</w:t>
      </w:r>
    </w:p>
    <w:p>
      <w:pPr>
        <w:pStyle w:val="BodyText"/>
        <w:spacing w:line="271" w:lineRule="auto" w:before="130"/>
        <w:ind w:left="963" w:right="869" w:hanging="10"/>
        <w:jc w:val="both"/>
      </w:pPr>
      <w:r>
        <w:rPr/>
        <w:pict>
          <v:line style="position:absolute;mso-position-horizontal-relative:page;mso-position-vertical-relative:paragraph;z-index:15742976" from="345.899994pt,100.799881pt" to="483.549994pt,100.799881pt" stroked="true" strokeweight=".96pt" strokecolor="#000000">
            <v:stroke dashstyle="shortdot"/>
            <w10:wrap type="none"/>
          </v:line>
        </w:pict>
      </w:r>
      <w:r>
        <w:rPr/>
        <w:t>La política del DIPD sobre anticorrupción se desarrollará en la segunda mitad de 2021 y se agregará a las directrices del DIPD.</w:t>
      </w:r>
    </w:p>
    <w:p>
      <w:pPr>
        <w:spacing w:after="0" w:line="271" w:lineRule="auto"/>
        <w:jc w:val="both"/>
        <w:sectPr>
          <w:headerReference w:type="default" r:id="rId37"/>
          <w:footerReference w:type="default" r:id="rId38"/>
          <w:pgSz w:w="11910" w:h="16850"/>
          <w:pgMar w:header="718" w:footer="843" w:top="940" w:bottom="1040" w:left="1300" w:right="1400"/>
        </w:sectPr>
      </w:pPr>
    </w:p>
    <w:p>
      <w:pPr>
        <w:pStyle w:val="BodyText"/>
      </w:pPr>
    </w:p>
    <w:p>
      <w:pPr>
        <w:pStyle w:val="BodyText"/>
      </w:pPr>
    </w:p>
    <w:p>
      <w:pPr>
        <w:pStyle w:val="BodyText"/>
        <w:spacing w:before="4"/>
        <w:rPr>
          <w:sz w:val="21"/>
        </w:rPr>
      </w:pPr>
    </w:p>
    <w:p>
      <w:pPr>
        <w:pStyle w:val="Heading2"/>
        <w:numPr>
          <w:ilvl w:val="1"/>
          <w:numId w:val="4"/>
        </w:numPr>
        <w:tabs>
          <w:tab w:pos="508" w:val="left" w:leader="none"/>
        </w:tabs>
        <w:spacing w:line="259" w:lineRule="auto" w:before="92" w:after="0"/>
        <w:ind w:left="102" w:right="1310" w:firstLine="0"/>
        <w:jc w:val="left"/>
      </w:pPr>
      <w:r>
        <w:rPr>
          <w:color w:val="FF0000"/>
        </w:rPr>
        <w:t>INCLUMPIENTO</w:t>
      </w:r>
      <w:r>
        <w:rPr>
          <w:color w:val="FF0000"/>
          <w:spacing w:val="-5"/>
        </w:rPr>
        <w:t> </w:t>
      </w:r>
      <w:r>
        <w:rPr>
          <w:color w:val="FF0000"/>
        </w:rPr>
        <w:t>DE</w:t>
      </w:r>
      <w:r>
        <w:rPr>
          <w:color w:val="FF0000"/>
          <w:spacing w:val="-5"/>
        </w:rPr>
        <w:t> </w:t>
      </w:r>
      <w:r>
        <w:rPr>
          <w:color w:val="FF0000"/>
        </w:rPr>
        <w:t>LAS</w:t>
      </w:r>
      <w:r>
        <w:rPr>
          <w:color w:val="FF0000"/>
          <w:spacing w:val="-5"/>
        </w:rPr>
        <w:t> </w:t>
      </w:r>
      <w:r>
        <w:rPr>
          <w:color w:val="FF0000"/>
        </w:rPr>
        <w:t>CONDICIONES</w:t>
      </w:r>
      <w:r>
        <w:rPr>
          <w:color w:val="FF0000"/>
          <w:spacing w:val="-6"/>
        </w:rPr>
        <w:t> </w:t>
      </w:r>
      <w:r>
        <w:rPr>
          <w:color w:val="FF0000"/>
        </w:rPr>
        <w:t>AL</w:t>
      </w:r>
      <w:r>
        <w:rPr>
          <w:color w:val="FF0000"/>
          <w:spacing w:val="-7"/>
        </w:rPr>
        <w:t> </w:t>
      </w:r>
      <w:r>
        <w:rPr>
          <w:color w:val="FF0000"/>
        </w:rPr>
        <w:t>RECIBIR</w:t>
      </w:r>
      <w:r>
        <w:rPr>
          <w:color w:val="FF0000"/>
          <w:spacing w:val="-5"/>
        </w:rPr>
        <w:t> </w:t>
      </w:r>
      <w:r>
        <w:rPr>
          <w:color w:val="FF0000"/>
        </w:rPr>
        <w:t>FONDOS</w:t>
      </w:r>
      <w:r>
        <w:rPr>
          <w:color w:val="FF0000"/>
          <w:spacing w:val="-4"/>
        </w:rPr>
        <w:t> </w:t>
      </w:r>
      <w:r>
        <w:rPr>
          <w:color w:val="FF0000"/>
        </w:rPr>
        <w:t>DE </w:t>
      </w:r>
      <w:r>
        <w:rPr>
          <w:color w:val="FF0000"/>
          <w:spacing w:val="-4"/>
        </w:rPr>
        <w:t>DIPD</w:t>
      </w:r>
    </w:p>
    <w:p>
      <w:pPr>
        <w:pStyle w:val="BodyText"/>
        <w:spacing w:line="268" w:lineRule="auto" w:before="164"/>
        <w:ind w:left="963" w:right="859" w:hanging="10"/>
        <w:jc w:val="both"/>
      </w:pPr>
      <w:r>
        <w:rPr/>
        <w:t>Si los fondos no se gestionan correctamente, o si hay evidencia de irregularidades en las cuentas, DIPD puede finalizar el compromiso y solicitar el reembolso de los fondos otorgados. Se habrán incumplido las condiciones para recibir los fondos, si la asociación entre partidos no cumple con los requisitos de la subvención, por </w:t>
      </w:r>
      <w:r>
        <w:rPr>
          <w:spacing w:val="-2"/>
        </w:rPr>
        <w:t>ejemplo:</w:t>
      </w:r>
    </w:p>
    <w:p>
      <w:pPr>
        <w:spacing w:line="268" w:lineRule="auto" w:before="131"/>
        <w:ind w:left="1520" w:right="870" w:hanging="425"/>
        <w:jc w:val="both"/>
        <w:rPr>
          <w:i/>
          <w:sz w:val="20"/>
        </w:rPr>
      </w:pPr>
      <w:r>
        <w:rPr>
          <w:rFonts w:ascii="Segoe UI Symbol" w:hAnsi="Segoe UI Symbol"/>
          <w:color w:val="FF0000"/>
          <w:sz w:val="20"/>
        </w:rPr>
        <w:t>→ </w:t>
      </w:r>
      <w:r>
        <w:rPr>
          <w:i/>
          <w:sz w:val="20"/>
        </w:rPr>
        <w:t>retrasos en la implementación de más de 6 meses que no han sido aprobados</w:t>
      </w:r>
      <w:r>
        <w:rPr>
          <w:i/>
          <w:sz w:val="20"/>
        </w:rPr>
        <w:t> por DIPD;</w:t>
      </w:r>
    </w:p>
    <w:p>
      <w:pPr>
        <w:spacing w:before="2"/>
        <w:ind w:left="1095" w:right="0" w:firstLine="0"/>
        <w:jc w:val="both"/>
        <w:rPr>
          <w:i/>
          <w:sz w:val="20"/>
        </w:rPr>
      </w:pPr>
      <w:r>
        <w:rPr>
          <w:rFonts w:ascii="Segoe UI Symbol" w:hAnsi="Segoe UI Symbol"/>
          <w:color w:val="FF0000"/>
          <w:sz w:val="20"/>
        </w:rPr>
        <w:t>→</w:t>
      </w:r>
      <w:r>
        <w:rPr>
          <w:rFonts w:ascii="Segoe UI Symbol" w:hAnsi="Segoe UI Symbol"/>
          <w:color w:val="FF0000"/>
          <w:spacing w:val="-6"/>
          <w:sz w:val="20"/>
        </w:rPr>
        <w:t> </w:t>
      </w:r>
      <w:r>
        <w:rPr>
          <w:i/>
          <w:sz w:val="20"/>
        </w:rPr>
        <w:t>falta</w:t>
      </w:r>
      <w:r>
        <w:rPr>
          <w:i/>
          <w:spacing w:val="-6"/>
          <w:sz w:val="20"/>
        </w:rPr>
        <w:t> </w:t>
      </w:r>
      <w:r>
        <w:rPr>
          <w:i/>
          <w:sz w:val="20"/>
        </w:rPr>
        <w:t>o</w:t>
      </w:r>
      <w:r>
        <w:rPr>
          <w:i/>
          <w:spacing w:val="-8"/>
          <w:sz w:val="20"/>
        </w:rPr>
        <w:t> </w:t>
      </w:r>
      <w:r>
        <w:rPr>
          <w:i/>
          <w:sz w:val="20"/>
        </w:rPr>
        <w:t>inadecuación</w:t>
      </w:r>
      <w:r>
        <w:rPr>
          <w:i/>
          <w:spacing w:val="-6"/>
          <w:sz w:val="20"/>
        </w:rPr>
        <w:t> </w:t>
      </w:r>
      <w:r>
        <w:rPr>
          <w:i/>
          <w:sz w:val="20"/>
        </w:rPr>
        <w:t>de</w:t>
      </w:r>
      <w:r>
        <w:rPr>
          <w:i/>
          <w:spacing w:val="-7"/>
          <w:sz w:val="20"/>
        </w:rPr>
        <w:t> </w:t>
      </w:r>
      <w:r>
        <w:rPr>
          <w:i/>
          <w:sz w:val="20"/>
        </w:rPr>
        <w:t>informes</w:t>
      </w:r>
      <w:r>
        <w:rPr>
          <w:i/>
          <w:spacing w:val="-7"/>
          <w:sz w:val="20"/>
        </w:rPr>
        <w:t> </w:t>
      </w:r>
      <w:r>
        <w:rPr>
          <w:i/>
          <w:sz w:val="20"/>
        </w:rPr>
        <w:t>financieros</w:t>
      </w:r>
      <w:r>
        <w:rPr>
          <w:i/>
          <w:spacing w:val="-7"/>
          <w:sz w:val="20"/>
        </w:rPr>
        <w:t> </w:t>
      </w:r>
      <w:r>
        <w:rPr>
          <w:i/>
          <w:sz w:val="20"/>
        </w:rPr>
        <w:t>de</w:t>
      </w:r>
      <w:r>
        <w:rPr>
          <w:i/>
          <w:spacing w:val="-6"/>
          <w:sz w:val="20"/>
        </w:rPr>
        <w:t> </w:t>
      </w:r>
      <w:r>
        <w:rPr>
          <w:i/>
          <w:sz w:val="20"/>
        </w:rPr>
        <w:t>la</w:t>
      </w:r>
      <w:r>
        <w:rPr>
          <w:i/>
          <w:spacing w:val="-6"/>
          <w:sz w:val="20"/>
        </w:rPr>
        <w:t> </w:t>
      </w:r>
      <w:r>
        <w:rPr>
          <w:i/>
          <w:sz w:val="20"/>
        </w:rPr>
        <w:t>asociación</w:t>
      </w:r>
      <w:r>
        <w:rPr>
          <w:i/>
          <w:spacing w:val="-6"/>
          <w:sz w:val="20"/>
        </w:rPr>
        <w:t> </w:t>
      </w:r>
      <w:r>
        <w:rPr>
          <w:i/>
          <w:sz w:val="20"/>
        </w:rPr>
        <w:t>de</w:t>
      </w:r>
      <w:r>
        <w:rPr>
          <w:i/>
          <w:spacing w:val="-7"/>
          <w:sz w:val="20"/>
        </w:rPr>
        <w:t> </w:t>
      </w:r>
      <w:r>
        <w:rPr>
          <w:i/>
          <w:spacing w:val="-2"/>
          <w:sz w:val="20"/>
        </w:rPr>
        <w:t>partidos</w:t>
      </w:r>
    </w:p>
    <w:p>
      <w:pPr>
        <w:spacing w:line="268" w:lineRule="auto" w:before="31"/>
        <w:ind w:left="1520" w:right="862" w:hanging="425"/>
        <w:jc w:val="both"/>
        <w:rPr>
          <w:i/>
          <w:sz w:val="20"/>
        </w:rPr>
      </w:pPr>
      <w:r>
        <w:rPr>
          <w:rFonts w:ascii="Segoe UI Symbol" w:hAnsi="Segoe UI Symbol"/>
          <w:color w:val="FF0000"/>
          <w:sz w:val="20"/>
        </w:rPr>
        <w:t>→ </w:t>
      </w:r>
      <w:r>
        <w:rPr>
          <w:i/>
          <w:sz w:val="20"/>
        </w:rPr>
        <w:t>cambios importantes en la asociación relacionados con las bases de la</w:t>
      </w:r>
      <w:r>
        <w:rPr>
          <w:i/>
          <w:sz w:val="20"/>
        </w:rPr>
        <w:t> subvención que no hayan sido aprobados;</w:t>
      </w:r>
    </w:p>
    <w:p>
      <w:pPr>
        <w:spacing w:line="268" w:lineRule="auto" w:before="2"/>
        <w:ind w:left="1520" w:right="868" w:hanging="425"/>
        <w:jc w:val="both"/>
        <w:rPr>
          <w:i/>
          <w:sz w:val="20"/>
        </w:rPr>
      </w:pPr>
      <w:r>
        <w:rPr>
          <w:rFonts w:ascii="Segoe UI Symbol" w:hAnsi="Segoe UI Symbol"/>
          <w:color w:val="FF0000"/>
          <w:sz w:val="20"/>
        </w:rPr>
        <w:t>→</w:t>
      </w:r>
      <w:r>
        <w:rPr>
          <w:rFonts w:ascii="Segoe UI Symbol" w:hAnsi="Segoe UI Symbol"/>
          <w:color w:val="FF0000"/>
          <w:spacing w:val="-8"/>
          <w:sz w:val="20"/>
        </w:rPr>
        <w:t> </w:t>
      </w:r>
      <w:r>
        <w:rPr>
          <w:i/>
          <w:sz w:val="20"/>
        </w:rPr>
        <w:t>Otras</w:t>
      </w:r>
      <w:r>
        <w:rPr>
          <w:i/>
          <w:spacing w:val="-9"/>
          <w:sz w:val="20"/>
        </w:rPr>
        <w:t> </w:t>
      </w:r>
      <w:r>
        <w:rPr>
          <w:i/>
          <w:sz w:val="20"/>
        </w:rPr>
        <w:t>formas</w:t>
      </w:r>
      <w:r>
        <w:rPr>
          <w:i/>
          <w:spacing w:val="-9"/>
          <w:sz w:val="20"/>
        </w:rPr>
        <w:t> </w:t>
      </w:r>
      <w:r>
        <w:rPr>
          <w:i/>
          <w:sz w:val="20"/>
        </w:rPr>
        <w:t>irresponsables</w:t>
      </w:r>
      <w:r>
        <w:rPr>
          <w:i/>
          <w:spacing w:val="-9"/>
          <w:sz w:val="20"/>
        </w:rPr>
        <w:t> </w:t>
      </w:r>
      <w:r>
        <w:rPr>
          <w:i/>
          <w:sz w:val="20"/>
        </w:rPr>
        <w:t>de</w:t>
      </w:r>
      <w:r>
        <w:rPr>
          <w:i/>
          <w:spacing w:val="-10"/>
          <w:sz w:val="20"/>
        </w:rPr>
        <w:t> </w:t>
      </w:r>
      <w:r>
        <w:rPr>
          <w:i/>
          <w:sz w:val="20"/>
        </w:rPr>
        <w:t>la</w:t>
      </w:r>
      <w:r>
        <w:rPr>
          <w:i/>
          <w:spacing w:val="-8"/>
          <w:sz w:val="20"/>
        </w:rPr>
        <w:t> </w:t>
      </w:r>
      <w:r>
        <w:rPr>
          <w:i/>
          <w:sz w:val="20"/>
        </w:rPr>
        <w:t>gestión</w:t>
      </w:r>
      <w:r>
        <w:rPr>
          <w:i/>
          <w:spacing w:val="-8"/>
          <w:sz w:val="20"/>
        </w:rPr>
        <w:t> </w:t>
      </w:r>
      <w:r>
        <w:rPr>
          <w:i/>
          <w:sz w:val="20"/>
        </w:rPr>
        <w:t>de</w:t>
      </w:r>
      <w:r>
        <w:rPr>
          <w:i/>
          <w:spacing w:val="-8"/>
          <w:sz w:val="20"/>
        </w:rPr>
        <w:t> </w:t>
      </w:r>
      <w:r>
        <w:rPr>
          <w:i/>
          <w:sz w:val="20"/>
        </w:rPr>
        <w:t>los</w:t>
      </w:r>
      <w:r>
        <w:rPr>
          <w:i/>
          <w:spacing w:val="-9"/>
          <w:sz w:val="20"/>
        </w:rPr>
        <w:t> </w:t>
      </w:r>
      <w:r>
        <w:rPr>
          <w:i/>
          <w:sz w:val="20"/>
        </w:rPr>
        <w:t>fondos,</w:t>
      </w:r>
      <w:r>
        <w:rPr>
          <w:i/>
          <w:spacing w:val="-10"/>
          <w:sz w:val="20"/>
        </w:rPr>
        <w:t> </w:t>
      </w:r>
      <w:r>
        <w:rPr>
          <w:i/>
          <w:sz w:val="20"/>
        </w:rPr>
        <w:t>los</w:t>
      </w:r>
      <w:r>
        <w:rPr>
          <w:i/>
          <w:spacing w:val="-7"/>
          <w:sz w:val="20"/>
        </w:rPr>
        <w:t> </w:t>
      </w:r>
      <w:r>
        <w:rPr>
          <w:i/>
          <w:sz w:val="20"/>
        </w:rPr>
        <w:t>incumplimientos</w:t>
      </w:r>
      <w:r>
        <w:rPr>
          <w:i/>
          <w:spacing w:val="-9"/>
          <w:sz w:val="20"/>
        </w:rPr>
        <w:t> </w:t>
      </w:r>
      <w:r>
        <w:rPr>
          <w:i/>
          <w:sz w:val="20"/>
        </w:rPr>
        <w:t>de</w:t>
      </w:r>
      <w:r>
        <w:rPr>
          <w:i/>
          <w:sz w:val="20"/>
        </w:rPr>
        <w:t> las presentes directrices también se incluyen.</w:t>
      </w:r>
    </w:p>
    <w:p>
      <w:pPr>
        <w:pStyle w:val="BodyText"/>
        <w:spacing w:line="271" w:lineRule="auto" w:before="127"/>
        <w:ind w:left="963" w:right="857" w:hanging="10"/>
        <w:jc w:val="both"/>
      </w:pPr>
      <w:r>
        <w:rPr/>
        <w:t>En</w:t>
      </w:r>
      <w:r>
        <w:rPr>
          <w:spacing w:val="-12"/>
        </w:rPr>
        <w:t> </w:t>
      </w:r>
      <w:r>
        <w:rPr/>
        <w:t>caso</w:t>
      </w:r>
      <w:r>
        <w:rPr>
          <w:spacing w:val="-10"/>
        </w:rPr>
        <w:t> </w:t>
      </w:r>
      <w:r>
        <w:rPr/>
        <w:t>de</w:t>
      </w:r>
      <w:r>
        <w:rPr>
          <w:spacing w:val="-10"/>
        </w:rPr>
        <w:t> </w:t>
      </w:r>
      <w:r>
        <w:rPr/>
        <w:t>incumplimientos</w:t>
      </w:r>
      <w:r>
        <w:rPr>
          <w:spacing w:val="-11"/>
        </w:rPr>
        <w:t> </w:t>
      </w:r>
      <w:r>
        <w:rPr/>
        <w:t>documentados,</w:t>
      </w:r>
      <w:r>
        <w:rPr>
          <w:spacing w:val="-11"/>
        </w:rPr>
        <w:t> </w:t>
      </w:r>
      <w:r>
        <w:rPr/>
        <w:t>DIPD</w:t>
      </w:r>
      <w:r>
        <w:rPr>
          <w:spacing w:val="-11"/>
        </w:rPr>
        <w:t> </w:t>
      </w:r>
      <w:r>
        <w:rPr/>
        <w:t>se</w:t>
      </w:r>
      <w:r>
        <w:rPr>
          <w:spacing w:val="-12"/>
        </w:rPr>
        <w:t> </w:t>
      </w:r>
      <w:r>
        <w:rPr/>
        <w:t>reserva</w:t>
      </w:r>
      <w:r>
        <w:rPr>
          <w:spacing w:val="-12"/>
        </w:rPr>
        <w:t> </w:t>
      </w:r>
      <w:r>
        <w:rPr/>
        <w:t>los</w:t>
      </w:r>
      <w:r>
        <w:rPr>
          <w:spacing w:val="-11"/>
        </w:rPr>
        <w:t> </w:t>
      </w:r>
      <w:r>
        <w:rPr/>
        <w:t>derechos</w:t>
      </w:r>
      <w:r>
        <w:rPr>
          <w:spacing w:val="-11"/>
        </w:rPr>
        <w:t> </w:t>
      </w:r>
      <w:r>
        <w:rPr/>
        <w:t>de</w:t>
      </w:r>
      <w:r>
        <w:rPr>
          <w:spacing w:val="-5"/>
        </w:rPr>
        <w:t> </w:t>
      </w:r>
      <w:r>
        <w:rPr/>
        <w:t>tomar las medidas pertinentes para limitar las consecuencias de estos incumplimientos. Puede</w:t>
      </w:r>
      <w:r>
        <w:rPr>
          <w:spacing w:val="-13"/>
        </w:rPr>
        <w:t> </w:t>
      </w:r>
      <w:r>
        <w:rPr/>
        <w:t>tratarse</w:t>
      </w:r>
      <w:r>
        <w:rPr>
          <w:spacing w:val="-13"/>
        </w:rPr>
        <w:t> </w:t>
      </w:r>
      <w:r>
        <w:rPr/>
        <w:t>de</w:t>
      </w:r>
      <w:r>
        <w:rPr>
          <w:spacing w:val="-11"/>
        </w:rPr>
        <w:t> </w:t>
      </w:r>
      <w:r>
        <w:rPr/>
        <w:t>una</w:t>
      </w:r>
      <w:r>
        <w:rPr>
          <w:spacing w:val="-13"/>
        </w:rPr>
        <w:t> </w:t>
      </w:r>
      <w:r>
        <w:rPr/>
        <w:t>queja</w:t>
      </w:r>
      <w:r>
        <w:rPr>
          <w:spacing w:val="-13"/>
        </w:rPr>
        <w:t> </w:t>
      </w:r>
      <w:r>
        <w:rPr/>
        <w:t>por</w:t>
      </w:r>
      <w:r>
        <w:rPr>
          <w:spacing w:val="-12"/>
        </w:rPr>
        <w:t> </w:t>
      </w:r>
      <w:r>
        <w:rPr/>
        <w:t>escrito</w:t>
      </w:r>
      <w:r>
        <w:rPr>
          <w:spacing w:val="-11"/>
        </w:rPr>
        <w:t> </w:t>
      </w:r>
      <w:r>
        <w:rPr/>
        <w:t>con</w:t>
      </w:r>
      <w:r>
        <w:rPr>
          <w:spacing w:val="-13"/>
        </w:rPr>
        <w:t> </w:t>
      </w:r>
      <w:r>
        <w:rPr/>
        <w:t>una</w:t>
      </w:r>
      <w:r>
        <w:rPr>
          <w:spacing w:val="-13"/>
        </w:rPr>
        <w:t> </w:t>
      </w:r>
      <w:r>
        <w:rPr/>
        <w:t>solicitud</w:t>
      </w:r>
      <w:r>
        <w:rPr>
          <w:spacing w:val="-13"/>
        </w:rPr>
        <w:t> </w:t>
      </w:r>
      <w:r>
        <w:rPr/>
        <w:t>de</w:t>
      </w:r>
      <w:r>
        <w:rPr>
          <w:spacing w:val="-13"/>
        </w:rPr>
        <w:t> </w:t>
      </w:r>
      <w:r>
        <w:rPr/>
        <w:t>solución</w:t>
      </w:r>
      <w:r>
        <w:rPr>
          <w:spacing w:val="-11"/>
        </w:rPr>
        <w:t> </w:t>
      </w:r>
      <w:r>
        <w:rPr/>
        <w:t>de</w:t>
      </w:r>
      <w:r>
        <w:rPr>
          <w:spacing w:val="-11"/>
        </w:rPr>
        <w:t> </w:t>
      </w:r>
      <w:r>
        <w:rPr/>
        <w:t>la</w:t>
      </w:r>
      <w:r>
        <w:rPr>
          <w:spacing w:val="-13"/>
        </w:rPr>
        <w:t> </w:t>
      </w:r>
      <w:r>
        <w:rPr/>
        <w:t>situación, la implementación de una revisión de la gestión del EP, el cese de pagos adicionales, la suspensión progresiva o el cese de las actividades. En este último caso, se reembolsarán todos los fondos no gastados y cabe la posibilidad de que los fondos ya utilizados deban devolverse a DIPD y se deba pagar una compensación en caso de pérdidas financieras.</w:t>
      </w:r>
    </w:p>
    <w:p>
      <w:pPr>
        <w:pStyle w:val="BodyText"/>
        <w:spacing w:before="1"/>
        <w:rPr>
          <w:sz w:val="31"/>
        </w:rPr>
      </w:pPr>
    </w:p>
    <w:p>
      <w:pPr>
        <w:pStyle w:val="Heading3"/>
        <w:numPr>
          <w:ilvl w:val="2"/>
          <w:numId w:val="4"/>
        </w:numPr>
        <w:tabs>
          <w:tab w:pos="1042" w:val="left" w:leader="none"/>
          <w:tab w:pos="1043" w:val="left" w:leader="none"/>
        </w:tabs>
        <w:spacing w:line="240" w:lineRule="auto" w:before="0" w:after="0"/>
        <w:ind w:left="1042" w:right="0" w:hanging="941"/>
        <w:jc w:val="left"/>
      </w:pPr>
      <w:bookmarkStart w:name="_TOC_250012" w:id="21"/>
      <w:r>
        <w:rPr>
          <w:color w:val="FF0000"/>
        </w:rPr>
        <w:t>CONCLUSIÓN</w:t>
      </w:r>
      <w:r>
        <w:rPr>
          <w:color w:val="FF0000"/>
          <w:spacing w:val="-9"/>
        </w:rPr>
        <w:t> </w:t>
      </w:r>
      <w:r>
        <w:rPr>
          <w:color w:val="FF0000"/>
        </w:rPr>
        <w:t>DEL</w:t>
      </w:r>
      <w:r>
        <w:rPr>
          <w:color w:val="FF0000"/>
          <w:spacing w:val="-5"/>
        </w:rPr>
        <w:t> </w:t>
      </w:r>
      <w:r>
        <w:rPr>
          <w:color w:val="FF0000"/>
        </w:rPr>
        <w:t>ACUERDO</w:t>
      </w:r>
      <w:r>
        <w:rPr>
          <w:color w:val="FF0000"/>
          <w:spacing w:val="-5"/>
        </w:rPr>
        <w:t> </w:t>
      </w:r>
      <w:r>
        <w:rPr>
          <w:color w:val="FF0000"/>
        </w:rPr>
        <w:t>DE</w:t>
      </w:r>
      <w:r>
        <w:rPr>
          <w:color w:val="FF0000"/>
          <w:spacing w:val="-7"/>
        </w:rPr>
        <w:t> </w:t>
      </w:r>
      <w:bookmarkEnd w:id="21"/>
      <w:r>
        <w:rPr>
          <w:color w:val="FF0000"/>
          <w:spacing w:val="-2"/>
        </w:rPr>
        <w:t>COOPERACIÓN</w:t>
      </w:r>
    </w:p>
    <w:p>
      <w:pPr>
        <w:pStyle w:val="BodyText"/>
        <w:rPr>
          <w:sz w:val="22"/>
        </w:rPr>
      </w:pPr>
    </w:p>
    <w:p>
      <w:pPr>
        <w:pStyle w:val="BodyText"/>
        <w:spacing w:before="3"/>
        <w:rPr>
          <w:sz w:val="25"/>
        </w:rPr>
      </w:pPr>
    </w:p>
    <w:p>
      <w:pPr>
        <w:pStyle w:val="BodyText"/>
        <w:spacing w:line="268" w:lineRule="auto"/>
        <w:ind w:left="963" w:right="861" w:hanging="10"/>
        <w:jc w:val="both"/>
      </w:pPr>
      <w:r>
        <w:rPr/>
        <w:t>Como</w:t>
      </w:r>
      <w:r>
        <w:rPr>
          <w:spacing w:val="-7"/>
        </w:rPr>
        <w:t> </w:t>
      </w:r>
      <w:r>
        <w:rPr/>
        <w:t>parte</w:t>
      </w:r>
      <w:r>
        <w:rPr>
          <w:spacing w:val="-6"/>
        </w:rPr>
        <w:t> </w:t>
      </w:r>
      <w:r>
        <w:rPr/>
        <w:t>del</w:t>
      </w:r>
      <w:r>
        <w:rPr>
          <w:spacing w:val="-7"/>
        </w:rPr>
        <w:t> </w:t>
      </w:r>
      <w:r>
        <w:rPr/>
        <w:t>procedimiento</w:t>
      </w:r>
      <w:r>
        <w:rPr>
          <w:spacing w:val="-7"/>
        </w:rPr>
        <w:t> </w:t>
      </w:r>
      <w:r>
        <w:rPr/>
        <w:t>de</w:t>
      </w:r>
      <w:r>
        <w:rPr>
          <w:spacing w:val="-7"/>
        </w:rPr>
        <w:t> </w:t>
      </w:r>
      <w:r>
        <w:rPr/>
        <w:t>subvención,</w:t>
      </w:r>
      <w:r>
        <w:rPr>
          <w:spacing w:val="-6"/>
        </w:rPr>
        <w:t> </w:t>
      </w:r>
      <w:r>
        <w:rPr/>
        <w:t>el</w:t>
      </w:r>
      <w:r>
        <w:rPr>
          <w:spacing w:val="-8"/>
        </w:rPr>
        <w:t> </w:t>
      </w:r>
      <w:r>
        <w:rPr/>
        <w:t>EP</w:t>
      </w:r>
      <w:r>
        <w:rPr>
          <w:spacing w:val="-7"/>
        </w:rPr>
        <w:t> </w:t>
      </w:r>
      <w:r>
        <w:rPr/>
        <w:t>(</w:t>
      </w:r>
      <w:r>
        <w:rPr>
          <w:i/>
        </w:rPr>
        <w:t>siglas</w:t>
      </w:r>
      <w:r>
        <w:rPr>
          <w:i/>
          <w:spacing w:val="-8"/>
        </w:rPr>
        <w:t> </w:t>
      </w:r>
      <w:r>
        <w:rPr>
          <w:i/>
        </w:rPr>
        <w:t>en</w:t>
      </w:r>
      <w:r>
        <w:rPr>
          <w:i/>
          <w:spacing w:val="-7"/>
        </w:rPr>
        <w:t> </w:t>
      </w:r>
      <w:r>
        <w:rPr>
          <w:i/>
        </w:rPr>
        <w:t>inglés</w:t>
      </w:r>
      <w:r>
        <w:rPr>
          <w:i/>
          <w:spacing w:val="-6"/>
        </w:rPr>
        <w:t> </w:t>
      </w:r>
      <w:r>
        <w:rPr>
          <w:i/>
        </w:rPr>
        <w:t>para</w:t>
      </w:r>
      <w:r>
        <w:rPr>
          <w:i/>
          <w:spacing w:val="-7"/>
        </w:rPr>
        <w:t> </w:t>
      </w:r>
      <w:r>
        <w:rPr>
          <w:i/>
        </w:rPr>
        <w:t>Socio</w:t>
      </w:r>
      <w:r>
        <w:rPr>
          <w:i/>
          <w:spacing w:val="-7"/>
        </w:rPr>
        <w:t> </w:t>
      </w:r>
      <w:r>
        <w:rPr>
          <w:i/>
        </w:rPr>
        <w:t>del</w:t>
      </w:r>
      <w:r>
        <w:rPr>
          <w:i/>
        </w:rPr>
        <w:t> Encargo</w:t>
      </w:r>
      <w:r>
        <w:rPr/>
        <w:t>) deberá realizar un acuerdo de cooperación jurídicamente vinculante con su</w:t>
      </w:r>
      <w:r>
        <w:rPr>
          <w:spacing w:val="-12"/>
        </w:rPr>
        <w:t> </w:t>
      </w:r>
      <w:r>
        <w:rPr/>
        <w:t>socio.</w:t>
      </w:r>
      <w:r>
        <w:rPr>
          <w:spacing w:val="-12"/>
        </w:rPr>
        <w:t> </w:t>
      </w:r>
      <w:r>
        <w:rPr/>
        <w:t>Dicho</w:t>
      </w:r>
      <w:r>
        <w:rPr>
          <w:spacing w:val="-12"/>
        </w:rPr>
        <w:t> </w:t>
      </w:r>
      <w:r>
        <w:rPr/>
        <w:t>acuerdo</w:t>
      </w:r>
      <w:r>
        <w:rPr>
          <w:spacing w:val="-12"/>
        </w:rPr>
        <w:t> </w:t>
      </w:r>
      <w:r>
        <w:rPr/>
        <w:t>vinculante</w:t>
      </w:r>
      <w:r>
        <w:rPr>
          <w:spacing w:val="-12"/>
        </w:rPr>
        <w:t> </w:t>
      </w:r>
      <w:r>
        <w:rPr/>
        <w:t>está</w:t>
      </w:r>
      <w:r>
        <w:rPr>
          <w:spacing w:val="-9"/>
        </w:rPr>
        <w:t> </w:t>
      </w:r>
      <w:r>
        <w:rPr/>
        <w:t>diseñado</w:t>
      </w:r>
      <w:r>
        <w:rPr>
          <w:spacing w:val="-12"/>
        </w:rPr>
        <w:t> </w:t>
      </w:r>
      <w:r>
        <w:rPr/>
        <w:t>para</w:t>
      </w:r>
      <w:r>
        <w:rPr>
          <w:spacing w:val="-9"/>
        </w:rPr>
        <w:t> </w:t>
      </w:r>
      <w:r>
        <w:rPr/>
        <w:t>garantizar</w:t>
      </w:r>
      <w:r>
        <w:rPr>
          <w:spacing w:val="-11"/>
        </w:rPr>
        <w:t> </w:t>
      </w:r>
      <w:r>
        <w:rPr/>
        <w:t>que</w:t>
      </w:r>
      <w:r>
        <w:rPr>
          <w:spacing w:val="-12"/>
        </w:rPr>
        <w:t> </w:t>
      </w:r>
      <w:r>
        <w:rPr/>
        <w:t>la</w:t>
      </w:r>
      <w:r>
        <w:rPr>
          <w:spacing w:val="-12"/>
        </w:rPr>
        <w:t> </w:t>
      </w:r>
      <w:r>
        <w:rPr/>
        <w:t>subvención aprobada por la Ejecutiva de DIPD se gestiona correctamente. El acuerdo hace referencia a todos los trámites administrativos vinculados al pago de fondos, presentación adecuada de informes y requisitos para la gestión de los fondos.</w:t>
      </w:r>
    </w:p>
    <w:p>
      <w:pPr>
        <w:pStyle w:val="BodyText"/>
        <w:spacing w:line="271" w:lineRule="auto" w:before="135"/>
        <w:ind w:left="963" w:right="856" w:hanging="10"/>
        <w:jc w:val="both"/>
      </w:pPr>
      <w:r>
        <w:rPr/>
        <w:t>El</w:t>
      </w:r>
      <w:r>
        <w:rPr>
          <w:spacing w:val="-10"/>
        </w:rPr>
        <w:t> </w:t>
      </w:r>
      <w:r>
        <w:rPr/>
        <w:t>acuerdo</w:t>
      </w:r>
      <w:r>
        <w:rPr>
          <w:spacing w:val="-9"/>
        </w:rPr>
        <w:t> </w:t>
      </w:r>
      <w:r>
        <w:rPr/>
        <w:t>de</w:t>
      </w:r>
      <w:r>
        <w:rPr>
          <w:spacing w:val="-9"/>
        </w:rPr>
        <w:t> </w:t>
      </w:r>
      <w:r>
        <w:rPr/>
        <w:t>cooperación</w:t>
      </w:r>
      <w:r>
        <w:rPr>
          <w:spacing w:val="-7"/>
        </w:rPr>
        <w:t> </w:t>
      </w:r>
      <w:r>
        <w:rPr/>
        <w:t>es</w:t>
      </w:r>
      <w:r>
        <w:rPr>
          <w:spacing w:val="-8"/>
        </w:rPr>
        <w:t> </w:t>
      </w:r>
      <w:r>
        <w:rPr/>
        <w:t>una</w:t>
      </w:r>
      <w:r>
        <w:rPr>
          <w:spacing w:val="-9"/>
        </w:rPr>
        <w:t> </w:t>
      </w:r>
      <w:r>
        <w:rPr/>
        <w:t>formalización</w:t>
      </w:r>
      <w:r>
        <w:rPr>
          <w:spacing w:val="-9"/>
        </w:rPr>
        <w:t> </w:t>
      </w:r>
      <w:r>
        <w:rPr/>
        <w:t>específica</w:t>
      </w:r>
      <w:r>
        <w:rPr>
          <w:spacing w:val="-9"/>
        </w:rPr>
        <w:t> </w:t>
      </w:r>
      <w:r>
        <w:rPr/>
        <w:t>de</w:t>
      </w:r>
      <w:r>
        <w:rPr>
          <w:spacing w:val="-2"/>
        </w:rPr>
        <w:t> </w:t>
      </w:r>
      <w:r>
        <w:rPr/>
        <w:t>la</w:t>
      </w:r>
      <w:r>
        <w:rPr>
          <w:spacing w:val="-9"/>
        </w:rPr>
        <w:t> </w:t>
      </w:r>
      <w:r>
        <w:rPr/>
        <w:t>asociación</w:t>
      </w:r>
      <w:r>
        <w:rPr>
          <w:spacing w:val="-8"/>
        </w:rPr>
        <w:t> </w:t>
      </w:r>
      <w:r>
        <w:rPr/>
        <w:t>y</w:t>
      </w:r>
      <w:r>
        <w:rPr>
          <w:spacing w:val="-8"/>
        </w:rPr>
        <w:t> </w:t>
      </w:r>
      <w:r>
        <w:rPr/>
        <w:t>de</w:t>
      </w:r>
      <w:r>
        <w:rPr>
          <w:spacing w:val="-7"/>
        </w:rPr>
        <w:t> </w:t>
      </w:r>
      <w:r>
        <w:rPr/>
        <w:t>las actividades, que los partidos han acordado conjuntamente. El acuerdo también refleja la reciprocidad en la asociación y describe las responsabilidades y obligaciones,</w:t>
      </w:r>
      <w:r>
        <w:rPr>
          <w:spacing w:val="-14"/>
        </w:rPr>
        <w:t> </w:t>
      </w:r>
      <w:r>
        <w:rPr/>
        <w:t>así</w:t>
      </w:r>
      <w:r>
        <w:rPr>
          <w:spacing w:val="-13"/>
        </w:rPr>
        <w:t> </w:t>
      </w:r>
      <w:r>
        <w:rPr/>
        <w:t>como</w:t>
      </w:r>
      <w:r>
        <w:rPr>
          <w:spacing w:val="-12"/>
        </w:rPr>
        <w:t> </w:t>
      </w:r>
      <w:r>
        <w:rPr/>
        <w:t>los</w:t>
      </w:r>
      <w:r>
        <w:rPr>
          <w:spacing w:val="-10"/>
        </w:rPr>
        <w:t> </w:t>
      </w:r>
      <w:r>
        <w:rPr/>
        <w:t>derechos</w:t>
      </w:r>
      <w:r>
        <w:rPr>
          <w:spacing w:val="-12"/>
        </w:rPr>
        <w:t> </w:t>
      </w:r>
      <w:r>
        <w:rPr/>
        <w:t>de</w:t>
      </w:r>
      <w:r>
        <w:rPr>
          <w:spacing w:val="-14"/>
        </w:rPr>
        <w:t> </w:t>
      </w:r>
      <w:r>
        <w:rPr/>
        <w:t>todas</w:t>
      </w:r>
      <w:r>
        <w:rPr>
          <w:spacing w:val="-10"/>
        </w:rPr>
        <w:t> </w:t>
      </w:r>
      <w:r>
        <w:rPr/>
        <w:t>las</w:t>
      </w:r>
      <w:r>
        <w:rPr>
          <w:spacing w:val="-13"/>
        </w:rPr>
        <w:t> </w:t>
      </w:r>
      <w:r>
        <w:rPr/>
        <w:t>partes.</w:t>
      </w:r>
      <w:r>
        <w:rPr>
          <w:spacing w:val="-14"/>
        </w:rPr>
        <w:t> </w:t>
      </w:r>
      <w:r>
        <w:rPr/>
        <w:t>Debe</w:t>
      </w:r>
      <w:r>
        <w:rPr>
          <w:spacing w:val="-12"/>
        </w:rPr>
        <w:t> </w:t>
      </w:r>
      <w:r>
        <w:rPr/>
        <w:t>diseñarse</w:t>
      </w:r>
      <w:r>
        <w:rPr>
          <w:spacing w:val="-14"/>
        </w:rPr>
        <w:t> </w:t>
      </w:r>
      <w:r>
        <w:rPr/>
        <w:t>de</w:t>
      </w:r>
      <w:r>
        <w:rPr>
          <w:spacing w:val="-13"/>
        </w:rPr>
        <w:t> </w:t>
      </w:r>
      <w:r>
        <w:rPr/>
        <w:t>manera que</w:t>
      </w:r>
      <w:r>
        <w:rPr>
          <w:spacing w:val="-6"/>
        </w:rPr>
        <w:t> </w:t>
      </w:r>
      <w:r>
        <w:rPr/>
        <w:t>permita</w:t>
      </w:r>
      <w:r>
        <w:rPr>
          <w:spacing w:val="-8"/>
        </w:rPr>
        <w:t> </w:t>
      </w:r>
      <w:r>
        <w:rPr/>
        <w:t>su</w:t>
      </w:r>
      <w:r>
        <w:rPr>
          <w:spacing w:val="-6"/>
        </w:rPr>
        <w:t> </w:t>
      </w:r>
      <w:r>
        <w:rPr/>
        <w:t>uso</w:t>
      </w:r>
      <w:r>
        <w:rPr>
          <w:spacing w:val="-6"/>
        </w:rPr>
        <w:t> </w:t>
      </w:r>
      <w:r>
        <w:rPr/>
        <w:t>en</w:t>
      </w:r>
      <w:r>
        <w:rPr>
          <w:spacing w:val="-6"/>
        </w:rPr>
        <w:t> </w:t>
      </w:r>
      <w:r>
        <w:rPr/>
        <w:t>la</w:t>
      </w:r>
      <w:r>
        <w:rPr>
          <w:spacing w:val="-6"/>
        </w:rPr>
        <w:t> </w:t>
      </w:r>
      <w:r>
        <w:rPr/>
        <w:t>implementación</w:t>
      </w:r>
      <w:r>
        <w:rPr>
          <w:spacing w:val="-6"/>
        </w:rPr>
        <w:t> </w:t>
      </w:r>
      <w:r>
        <w:rPr/>
        <w:t>de</w:t>
      </w:r>
      <w:r>
        <w:rPr>
          <w:spacing w:val="-6"/>
        </w:rPr>
        <w:t> </w:t>
      </w:r>
      <w:r>
        <w:rPr/>
        <w:t>la</w:t>
      </w:r>
      <w:r>
        <w:rPr>
          <w:spacing w:val="-8"/>
        </w:rPr>
        <w:t> </w:t>
      </w:r>
      <w:r>
        <w:rPr/>
        <w:t>colaboración,</w:t>
      </w:r>
      <w:r>
        <w:rPr>
          <w:spacing w:val="-5"/>
        </w:rPr>
        <w:t> </w:t>
      </w:r>
      <w:r>
        <w:rPr/>
        <w:t>y</w:t>
      </w:r>
      <w:r>
        <w:rPr>
          <w:spacing w:val="-4"/>
        </w:rPr>
        <w:t> </w:t>
      </w:r>
      <w:r>
        <w:rPr/>
        <w:t>en</w:t>
      </w:r>
      <w:r>
        <w:rPr>
          <w:spacing w:val="-6"/>
        </w:rPr>
        <w:t> </w:t>
      </w:r>
      <w:r>
        <w:rPr/>
        <w:t>el</w:t>
      </w:r>
      <w:r>
        <w:rPr>
          <w:spacing w:val="-9"/>
        </w:rPr>
        <w:t> </w:t>
      </w:r>
      <w:r>
        <w:rPr/>
        <w:t>caso</w:t>
      </w:r>
      <w:r>
        <w:rPr>
          <w:spacing w:val="-4"/>
        </w:rPr>
        <w:t> </w:t>
      </w:r>
      <w:r>
        <w:rPr/>
        <w:t>de</w:t>
      </w:r>
      <w:r>
        <w:rPr>
          <w:spacing w:val="-6"/>
        </w:rPr>
        <w:t> </w:t>
      </w:r>
      <w:r>
        <w:rPr/>
        <w:t>que</w:t>
      </w:r>
      <w:r>
        <w:rPr>
          <w:spacing w:val="-5"/>
        </w:rPr>
        <w:t> </w:t>
      </w:r>
      <w:r>
        <w:rPr/>
        <w:t>se produzcan reemplazos de personal y ambigüedades, discrepancias o conflictos </w:t>
      </w:r>
      <w:r>
        <w:rPr>
          <w:spacing w:val="-2"/>
        </w:rPr>
        <w:t>directos.</w:t>
      </w:r>
    </w:p>
    <w:p>
      <w:pPr>
        <w:pStyle w:val="BodyText"/>
        <w:spacing w:line="271" w:lineRule="auto" w:before="118"/>
        <w:ind w:left="963" w:right="865" w:hanging="10"/>
        <w:jc w:val="both"/>
      </w:pPr>
      <w:r>
        <w:rPr/>
        <w:t>Es importante que el EP, al principio del proceso de preparación de la asociación entre</w:t>
      </w:r>
      <w:r>
        <w:rPr>
          <w:spacing w:val="-7"/>
        </w:rPr>
        <w:t> </w:t>
      </w:r>
      <w:r>
        <w:rPr/>
        <w:t>partidos,</w:t>
      </w:r>
      <w:r>
        <w:rPr>
          <w:spacing w:val="-6"/>
        </w:rPr>
        <w:t> </w:t>
      </w:r>
      <w:r>
        <w:rPr/>
        <w:t>introduzca</w:t>
      </w:r>
      <w:r>
        <w:rPr>
          <w:spacing w:val="-7"/>
        </w:rPr>
        <w:t> </w:t>
      </w:r>
      <w:r>
        <w:rPr/>
        <w:t>el</w:t>
      </w:r>
      <w:r>
        <w:rPr>
          <w:spacing w:val="-8"/>
        </w:rPr>
        <w:t> </w:t>
      </w:r>
      <w:r>
        <w:rPr/>
        <w:t>formato</w:t>
      </w:r>
      <w:r>
        <w:rPr>
          <w:spacing w:val="-7"/>
        </w:rPr>
        <w:t> </w:t>
      </w:r>
      <w:r>
        <w:rPr/>
        <w:t>del</w:t>
      </w:r>
      <w:r>
        <w:rPr>
          <w:spacing w:val="-4"/>
        </w:rPr>
        <w:t> </w:t>
      </w:r>
      <w:r>
        <w:rPr/>
        <w:t>acuerdo</w:t>
      </w:r>
      <w:r>
        <w:rPr>
          <w:spacing w:val="-7"/>
        </w:rPr>
        <w:t> </w:t>
      </w:r>
      <w:r>
        <w:rPr/>
        <w:t>de</w:t>
      </w:r>
      <w:r>
        <w:rPr>
          <w:spacing w:val="-7"/>
        </w:rPr>
        <w:t> </w:t>
      </w:r>
      <w:r>
        <w:rPr/>
        <w:t>cooperación</w:t>
      </w:r>
      <w:r>
        <w:rPr>
          <w:spacing w:val="-7"/>
        </w:rPr>
        <w:t> </w:t>
      </w:r>
      <w:r>
        <w:rPr/>
        <w:t>a</w:t>
      </w:r>
      <w:r>
        <w:rPr>
          <w:spacing w:val="-7"/>
        </w:rPr>
        <w:t> </w:t>
      </w:r>
      <w:r>
        <w:rPr/>
        <w:t>su</w:t>
      </w:r>
      <w:r>
        <w:rPr>
          <w:spacing w:val="-7"/>
        </w:rPr>
        <w:t> </w:t>
      </w:r>
      <w:r>
        <w:rPr/>
        <w:t>socio</w:t>
      </w:r>
      <w:r>
        <w:rPr>
          <w:spacing w:val="-7"/>
        </w:rPr>
        <w:t> </w:t>
      </w:r>
      <w:r>
        <w:rPr/>
        <w:t>y</w:t>
      </w:r>
      <w:r>
        <w:rPr>
          <w:spacing w:val="-6"/>
        </w:rPr>
        <w:t> </w:t>
      </w:r>
      <w:r>
        <w:rPr/>
        <w:t>revise detalladamente todos los puntos del acuerdo con el socio.</w:t>
      </w:r>
    </w:p>
    <w:p>
      <w:pPr>
        <w:pStyle w:val="BodyText"/>
        <w:spacing w:line="268" w:lineRule="auto" w:before="123"/>
        <w:ind w:left="978" w:right="859" w:hanging="10"/>
        <w:jc w:val="both"/>
      </w:pPr>
      <w:r>
        <w:rPr/>
        <w:pict>
          <v:line style="position:absolute;mso-position-horizontal-relative:page;mso-position-vertical-relative:paragraph;z-index:15743488" from="111.949997pt,106.809883pt" to="249.499997pt,106.809883pt" stroked="true" strokeweight=".96pt" strokecolor="#000000">
            <v:stroke dashstyle="shortdot"/>
            <w10:wrap type="none"/>
          </v:line>
        </w:pict>
      </w:r>
      <w:r>
        <w:rPr/>
        <w:t>El objetivo de esto es asegurar que el socio esté de acuerdo con los requisitos de relacionados</w:t>
      </w:r>
      <w:r>
        <w:rPr>
          <w:spacing w:val="-5"/>
        </w:rPr>
        <w:t> </w:t>
      </w:r>
      <w:r>
        <w:rPr/>
        <w:t>con</w:t>
      </w:r>
      <w:r>
        <w:rPr>
          <w:spacing w:val="-4"/>
        </w:rPr>
        <w:t> </w:t>
      </w:r>
      <w:r>
        <w:rPr/>
        <w:t>la</w:t>
      </w:r>
      <w:r>
        <w:rPr>
          <w:spacing w:val="-5"/>
        </w:rPr>
        <w:t> </w:t>
      </w:r>
      <w:r>
        <w:rPr/>
        <w:t>administración</w:t>
      </w:r>
      <w:r>
        <w:rPr>
          <w:spacing w:val="-7"/>
        </w:rPr>
        <w:t> </w:t>
      </w:r>
      <w:r>
        <w:rPr/>
        <w:t>y</w:t>
      </w:r>
      <w:r>
        <w:rPr>
          <w:spacing w:val="-3"/>
        </w:rPr>
        <w:t> </w:t>
      </w:r>
      <w:r>
        <w:rPr/>
        <w:t>las</w:t>
      </w:r>
      <w:r>
        <w:rPr>
          <w:spacing w:val="-3"/>
        </w:rPr>
        <w:t> </w:t>
      </w:r>
      <w:r>
        <w:rPr/>
        <w:t>cuentas,</w:t>
      </w:r>
      <w:r>
        <w:rPr>
          <w:spacing w:val="-4"/>
        </w:rPr>
        <w:t> </w:t>
      </w:r>
      <w:r>
        <w:rPr/>
        <w:t>pero</w:t>
      </w:r>
      <w:r>
        <w:rPr>
          <w:spacing w:val="-4"/>
        </w:rPr>
        <w:t> </w:t>
      </w:r>
      <w:r>
        <w:rPr/>
        <w:t>también</w:t>
      </w:r>
      <w:r>
        <w:rPr>
          <w:spacing w:val="-5"/>
        </w:rPr>
        <w:t> </w:t>
      </w:r>
      <w:r>
        <w:rPr/>
        <w:t>para</w:t>
      </w:r>
      <w:r>
        <w:rPr>
          <w:spacing w:val="-5"/>
        </w:rPr>
        <w:t> </w:t>
      </w:r>
      <w:r>
        <w:rPr/>
        <w:t>averiguar</w:t>
      </w:r>
      <w:r>
        <w:rPr>
          <w:spacing w:val="-6"/>
        </w:rPr>
        <w:t> </w:t>
      </w:r>
      <w:r>
        <w:rPr/>
        <w:t>si</w:t>
      </w:r>
      <w:r>
        <w:rPr>
          <w:spacing w:val="-3"/>
        </w:rPr>
        <w:t> </w:t>
      </w:r>
      <w:r>
        <w:rPr/>
        <w:t>se debe</w:t>
      </w:r>
      <w:r>
        <w:rPr>
          <w:spacing w:val="-11"/>
        </w:rPr>
        <w:t> </w:t>
      </w:r>
      <w:r>
        <w:rPr/>
        <w:t>agregar</w:t>
      </w:r>
      <w:r>
        <w:rPr>
          <w:spacing w:val="-10"/>
        </w:rPr>
        <w:t> </w:t>
      </w:r>
      <w:r>
        <w:rPr/>
        <w:t>algo</w:t>
      </w:r>
      <w:r>
        <w:rPr>
          <w:spacing w:val="-11"/>
        </w:rPr>
        <w:t> </w:t>
      </w:r>
      <w:r>
        <w:rPr/>
        <w:t>al</w:t>
      </w:r>
      <w:r>
        <w:rPr>
          <w:spacing w:val="-11"/>
        </w:rPr>
        <w:t> </w:t>
      </w:r>
      <w:r>
        <w:rPr/>
        <w:t>formato</w:t>
      </w:r>
      <w:r>
        <w:rPr>
          <w:spacing w:val="-11"/>
        </w:rPr>
        <w:t> </w:t>
      </w:r>
      <w:r>
        <w:rPr/>
        <w:t>de</w:t>
      </w:r>
      <w:r>
        <w:rPr>
          <w:spacing w:val="-11"/>
        </w:rPr>
        <w:t> </w:t>
      </w:r>
      <w:r>
        <w:rPr/>
        <w:t>DIPD.</w:t>
      </w:r>
      <w:r>
        <w:rPr>
          <w:spacing w:val="-10"/>
        </w:rPr>
        <w:t> </w:t>
      </w:r>
      <w:r>
        <w:rPr/>
        <w:t>Puede</w:t>
      </w:r>
      <w:r>
        <w:rPr>
          <w:spacing w:val="-11"/>
        </w:rPr>
        <w:t> </w:t>
      </w:r>
      <w:r>
        <w:rPr/>
        <w:t>ponerse</w:t>
      </w:r>
      <w:r>
        <w:rPr>
          <w:spacing w:val="-11"/>
        </w:rPr>
        <w:t> </w:t>
      </w:r>
      <w:r>
        <w:rPr/>
        <w:t>en</w:t>
      </w:r>
      <w:r>
        <w:rPr>
          <w:spacing w:val="-11"/>
        </w:rPr>
        <w:t> </w:t>
      </w:r>
      <w:r>
        <w:rPr/>
        <w:t>contacto</w:t>
      </w:r>
      <w:r>
        <w:rPr>
          <w:spacing w:val="-11"/>
        </w:rPr>
        <w:t> </w:t>
      </w:r>
      <w:r>
        <w:rPr/>
        <w:t>con</w:t>
      </w:r>
      <w:r>
        <w:rPr>
          <w:spacing w:val="-11"/>
        </w:rPr>
        <w:t> </w:t>
      </w:r>
      <w:r>
        <w:rPr/>
        <w:t>la</w:t>
      </w:r>
      <w:r>
        <w:rPr>
          <w:spacing w:val="-11"/>
        </w:rPr>
        <w:t> </w:t>
      </w:r>
      <w:r>
        <w:rPr/>
        <w:t>secretaría de DIPD, si desea recibir orientación sobre cómo redactar un acuerdo definitivo de cooperación.</w:t>
      </w:r>
      <w:r>
        <w:rPr>
          <w:spacing w:val="40"/>
        </w:rPr>
        <w:t> </w:t>
      </w:r>
      <w:r>
        <w:rPr/>
        <w:t>El</w:t>
      </w:r>
      <w:r>
        <w:rPr>
          <w:spacing w:val="40"/>
        </w:rPr>
        <w:t> </w:t>
      </w:r>
      <w:r>
        <w:rPr/>
        <w:t>acuerdo</w:t>
      </w:r>
      <w:r>
        <w:rPr>
          <w:spacing w:val="40"/>
        </w:rPr>
        <w:t> </w:t>
      </w:r>
      <w:r>
        <w:rPr/>
        <w:t>no</w:t>
      </w:r>
      <w:r>
        <w:rPr>
          <w:spacing w:val="40"/>
        </w:rPr>
        <w:t> </w:t>
      </w:r>
      <w:r>
        <w:rPr/>
        <w:t>se</w:t>
      </w:r>
      <w:r>
        <w:rPr>
          <w:spacing w:val="40"/>
        </w:rPr>
        <w:t> </w:t>
      </w:r>
      <w:r>
        <w:rPr/>
        <w:t>puede</w:t>
      </w:r>
      <w:r>
        <w:rPr>
          <w:spacing w:val="40"/>
        </w:rPr>
        <w:t> </w:t>
      </w:r>
      <w:r>
        <w:rPr/>
        <w:t>completar</w:t>
      </w:r>
      <w:r>
        <w:rPr>
          <w:spacing w:val="40"/>
        </w:rPr>
        <w:t> </w:t>
      </w:r>
      <w:r>
        <w:rPr/>
        <w:t>antes</w:t>
      </w:r>
      <w:r>
        <w:rPr>
          <w:spacing w:val="40"/>
        </w:rPr>
        <w:t> </w:t>
      </w:r>
      <w:r>
        <w:rPr/>
        <w:t>de</w:t>
      </w:r>
      <w:r>
        <w:rPr>
          <w:spacing w:val="40"/>
        </w:rPr>
        <w:t> </w:t>
      </w:r>
      <w:r>
        <w:rPr/>
        <w:t>que</w:t>
      </w:r>
      <w:r>
        <w:rPr>
          <w:spacing w:val="40"/>
        </w:rPr>
        <w:t> </w:t>
      </w:r>
      <w:r>
        <w:rPr/>
        <w:t>se</w:t>
      </w:r>
      <w:r>
        <w:rPr>
          <w:spacing w:val="40"/>
        </w:rPr>
        <w:t> </w:t>
      </w:r>
      <w:r>
        <w:rPr/>
        <w:t>complete</w:t>
      </w:r>
      <w:r>
        <w:rPr>
          <w:spacing w:val="40"/>
        </w:rPr>
        <w:t> </w:t>
      </w:r>
      <w:r>
        <w:rPr/>
        <w:t>el</w:t>
      </w:r>
    </w:p>
    <w:p>
      <w:pPr>
        <w:spacing w:after="0" w:line="268" w:lineRule="auto"/>
        <w:jc w:val="both"/>
        <w:sectPr>
          <w:headerReference w:type="default" r:id="rId40"/>
          <w:footerReference w:type="default" r:id="rId41"/>
          <w:pgSz w:w="11910" w:h="16850"/>
          <w:pgMar w:header="718" w:footer="843" w:top="940" w:bottom="1040" w:left="1300" w:right="1400"/>
        </w:sectPr>
      </w:pPr>
    </w:p>
    <w:p>
      <w:pPr>
        <w:spacing w:line="271" w:lineRule="auto" w:before="182"/>
        <w:ind w:left="978" w:right="860" w:firstLine="0"/>
        <w:jc w:val="both"/>
        <w:rPr>
          <w:sz w:val="20"/>
        </w:rPr>
      </w:pPr>
      <w:r>
        <w:rPr>
          <w:sz w:val="20"/>
        </w:rPr>
        <w:t>contrato</w:t>
      </w:r>
      <w:r>
        <w:rPr>
          <w:spacing w:val="-1"/>
          <w:sz w:val="20"/>
        </w:rPr>
        <w:t> </w:t>
      </w:r>
      <w:r>
        <w:rPr>
          <w:sz w:val="20"/>
        </w:rPr>
        <w:t>en</w:t>
      </w:r>
      <w:r>
        <w:rPr>
          <w:spacing w:val="-2"/>
          <w:sz w:val="20"/>
        </w:rPr>
        <w:t> </w:t>
      </w:r>
      <w:r>
        <w:rPr>
          <w:sz w:val="20"/>
        </w:rPr>
        <w:t>inglés</w:t>
      </w:r>
      <w:r>
        <w:rPr>
          <w:spacing w:val="-1"/>
          <w:sz w:val="20"/>
        </w:rPr>
        <w:t> </w:t>
      </w:r>
      <w:r>
        <w:rPr>
          <w:sz w:val="20"/>
        </w:rPr>
        <w:t>‘</w:t>
      </w:r>
      <w:r>
        <w:rPr>
          <w:i/>
          <w:sz w:val="20"/>
        </w:rPr>
        <w:t>Engagement</w:t>
      </w:r>
      <w:r>
        <w:rPr>
          <w:i/>
          <w:spacing w:val="-2"/>
          <w:sz w:val="20"/>
        </w:rPr>
        <w:t> </w:t>
      </w:r>
      <w:r>
        <w:rPr>
          <w:i/>
          <w:sz w:val="20"/>
        </w:rPr>
        <w:t>Partner- Partner</w:t>
      </w:r>
      <w:r>
        <w:rPr>
          <w:i/>
          <w:spacing w:val="-1"/>
          <w:sz w:val="20"/>
        </w:rPr>
        <w:t> </w:t>
      </w:r>
      <w:r>
        <w:rPr>
          <w:i/>
          <w:sz w:val="20"/>
        </w:rPr>
        <w:t>–</w:t>
      </w:r>
      <w:r>
        <w:rPr>
          <w:i/>
          <w:spacing w:val="-3"/>
          <w:sz w:val="20"/>
        </w:rPr>
        <w:t> </w:t>
      </w:r>
      <w:r>
        <w:rPr>
          <w:i/>
          <w:sz w:val="20"/>
        </w:rPr>
        <w:t>Financial</w:t>
      </w:r>
      <w:r>
        <w:rPr>
          <w:i/>
          <w:spacing w:val="-2"/>
          <w:sz w:val="20"/>
        </w:rPr>
        <w:t> </w:t>
      </w:r>
      <w:r>
        <w:rPr>
          <w:i/>
          <w:sz w:val="20"/>
        </w:rPr>
        <w:t>Agreement’,</w:t>
      </w:r>
      <w:r>
        <w:rPr>
          <w:i/>
          <w:spacing w:val="-1"/>
          <w:sz w:val="20"/>
        </w:rPr>
        <w:t> </w:t>
      </w:r>
      <w:r>
        <w:rPr>
          <w:sz w:val="20"/>
        </w:rPr>
        <w:t>Socio</w:t>
      </w:r>
      <w:r>
        <w:rPr>
          <w:spacing w:val="-1"/>
          <w:sz w:val="20"/>
        </w:rPr>
        <w:t> </w:t>
      </w:r>
      <w:r>
        <w:rPr>
          <w:sz w:val="20"/>
        </w:rPr>
        <w:t>del Encargo -Socio - Acuerdo financiero (Anexo 2) en español.</w:t>
      </w:r>
    </w:p>
    <w:p>
      <w:pPr>
        <w:pStyle w:val="BodyText"/>
        <w:spacing w:line="271" w:lineRule="auto" w:before="124"/>
        <w:ind w:left="978" w:right="868" w:hanging="10"/>
        <w:jc w:val="both"/>
      </w:pPr>
      <w:r>
        <w:rPr/>
        <w:t>El acuerdo deberá ser concluido para que se pueda iniciar los pagos de la </w:t>
      </w:r>
      <w:r>
        <w:rPr>
          <w:spacing w:val="-2"/>
        </w:rPr>
        <w:t>subvención.</w:t>
      </w:r>
    </w:p>
    <w:p>
      <w:pPr>
        <w:pStyle w:val="BodyText"/>
        <w:rPr>
          <w:sz w:val="22"/>
        </w:rPr>
      </w:pPr>
    </w:p>
    <w:p>
      <w:pPr>
        <w:pStyle w:val="BodyText"/>
        <w:spacing w:before="3"/>
        <w:rPr>
          <w:sz w:val="22"/>
        </w:rPr>
      </w:pPr>
    </w:p>
    <w:p>
      <w:pPr>
        <w:pStyle w:val="Heading3"/>
        <w:numPr>
          <w:ilvl w:val="2"/>
          <w:numId w:val="4"/>
        </w:numPr>
        <w:tabs>
          <w:tab w:pos="1028" w:val="left" w:leader="none"/>
          <w:tab w:pos="1029" w:val="left" w:leader="none"/>
        </w:tabs>
        <w:spacing w:line="240" w:lineRule="auto" w:before="0" w:after="0"/>
        <w:ind w:left="1028" w:right="0" w:hanging="927"/>
        <w:jc w:val="left"/>
      </w:pPr>
      <w:bookmarkStart w:name="_TOC_250011" w:id="22"/>
      <w:r>
        <w:rPr>
          <w:color w:val="FF0000"/>
        </w:rPr>
        <w:t>PAGO</w:t>
      </w:r>
      <w:r>
        <w:rPr>
          <w:color w:val="FF0000"/>
          <w:spacing w:val="-5"/>
        </w:rPr>
        <w:t> </w:t>
      </w:r>
      <w:r>
        <w:rPr>
          <w:color w:val="FF0000"/>
        </w:rPr>
        <w:t>DE</w:t>
      </w:r>
      <w:r>
        <w:rPr>
          <w:color w:val="FF0000"/>
          <w:spacing w:val="-5"/>
        </w:rPr>
        <w:t> </w:t>
      </w:r>
      <w:bookmarkEnd w:id="22"/>
      <w:r>
        <w:rPr>
          <w:color w:val="FF0000"/>
          <w:spacing w:val="-2"/>
        </w:rPr>
        <w:t>FONDOS</w:t>
      </w:r>
    </w:p>
    <w:p>
      <w:pPr>
        <w:pStyle w:val="BodyText"/>
        <w:spacing w:line="271" w:lineRule="auto" w:before="159"/>
        <w:ind w:left="963" w:right="862" w:hanging="10"/>
        <w:jc w:val="both"/>
      </w:pPr>
      <w:r>
        <w:rPr/>
        <w:t>Los</w:t>
      </w:r>
      <w:r>
        <w:rPr>
          <w:spacing w:val="-5"/>
        </w:rPr>
        <w:t> </w:t>
      </w:r>
      <w:r>
        <w:rPr/>
        <w:t>pagos</w:t>
      </w:r>
      <w:r>
        <w:rPr>
          <w:spacing w:val="-5"/>
        </w:rPr>
        <w:t> </w:t>
      </w:r>
      <w:r>
        <w:rPr/>
        <w:t>se</w:t>
      </w:r>
      <w:r>
        <w:rPr>
          <w:spacing w:val="-7"/>
        </w:rPr>
        <w:t> </w:t>
      </w:r>
      <w:r>
        <w:rPr/>
        <w:t>realizarán</w:t>
      </w:r>
      <w:r>
        <w:rPr>
          <w:spacing w:val="-7"/>
        </w:rPr>
        <w:t> </w:t>
      </w:r>
      <w:r>
        <w:rPr/>
        <w:t>en</w:t>
      </w:r>
      <w:r>
        <w:rPr>
          <w:spacing w:val="-4"/>
        </w:rPr>
        <w:t> </w:t>
      </w:r>
      <w:r>
        <w:rPr/>
        <w:t>dos</w:t>
      </w:r>
      <w:r>
        <w:rPr>
          <w:spacing w:val="-6"/>
        </w:rPr>
        <w:t> </w:t>
      </w:r>
      <w:r>
        <w:rPr/>
        <w:t>cuotas</w:t>
      </w:r>
      <w:r>
        <w:rPr>
          <w:spacing w:val="-6"/>
        </w:rPr>
        <w:t> </w:t>
      </w:r>
      <w:r>
        <w:rPr/>
        <w:t>al</w:t>
      </w:r>
      <w:r>
        <w:rPr>
          <w:spacing w:val="-7"/>
        </w:rPr>
        <w:t> </w:t>
      </w:r>
      <w:r>
        <w:rPr/>
        <w:t>año</w:t>
      </w:r>
      <w:r>
        <w:rPr>
          <w:spacing w:val="-7"/>
        </w:rPr>
        <w:t> </w:t>
      </w:r>
      <w:r>
        <w:rPr/>
        <w:t>según</w:t>
      </w:r>
      <w:r>
        <w:rPr>
          <w:spacing w:val="-4"/>
        </w:rPr>
        <w:t> </w:t>
      </w:r>
      <w:r>
        <w:rPr/>
        <w:t>lo</w:t>
      </w:r>
      <w:r>
        <w:rPr>
          <w:spacing w:val="-4"/>
        </w:rPr>
        <w:t> </w:t>
      </w:r>
      <w:r>
        <w:rPr/>
        <w:t>acordado,</w:t>
      </w:r>
      <w:r>
        <w:rPr>
          <w:spacing w:val="-7"/>
        </w:rPr>
        <w:t> </w:t>
      </w:r>
      <w:r>
        <w:rPr/>
        <w:t>de</w:t>
      </w:r>
      <w:r>
        <w:rPr>
          <w:spacing w:val="-5"/>
        </w:rPr>
        <w:t> </w:t>
      </w:r>
      <w:r>
        <w:rPr/>
        <w:t>acuerdo</w:t>
      </w:r>
      <w:r>
        <w:rPr>
          <w:spacing w:val="-7"/>
        </w:rPr>
        <w:t> </w:t>
      </w:r>
      <w:r>
        <w:rPr/>
        <w:t>con</w:t>
      </w:r>
      <w:r>
        <w:rPr>
          <w:spacing w:val="-5"/>
        </w:rPr>
        <w:t> </w:t>
      </w:r>
      <w:r>
        <w:rPr/>
        <w:t>el FA</w:t>
      </w:r>
      <w:r>
        <w:rPr>
          <w:spacing w:val="-2"/>
        </w:rPr>
        <w:t> </w:t>
      </w:r>
      <w:r>
        <w:rPr/>
        <w:t>(</w:t>
      </w:r>
      <w:r>
        <w:rPr>
          <w:i/>
        </w:rPr>
        <w:t>siglas en</w:t>
      </w:r>
      <w:r>
        <w:rPr>
          <w:i/>
          <w:spacing w:val="-1"/>
        </w:rPr>
        <w:t> </w:t>
      </w:r>
      <w:r>
        <w:rPr>
          <w:i/>
        </w:rPr>
        <w:t>inglés para</w:t>
      </w:r>
      <w:r>
        <w:rPr>
          <w:i/>
          <w:spacing w:val="-1"/>
        </w:rPr>
        <w:t> </w:t>
      </w:r>
      <w:r>
        <w:rPr>
          <w:i/>
        </w:rPr>
        <w:t>Acuerdo</w:t>
      </w:r>
      <w:r>
        <w:rPr>
          <w:i/>
          <w:spacing w:val="-1"/>
        </w:rPr>
        <w:t> </w:t>
      </w:r>
      <w:r>
        <w:rPr>
          <w:i/>
        </w:rPr>
        <w:t>Marco) </w:t>
      </w:r>
      <w:r>
        <w:rPr/>
        <w:t>aprobado</w:t>
      </w:r>
      <w:r>
        <w:rPr>
          <w:spacing w:val="-2"/>
        </w:rPr>
        <w:t> </w:t>
      </w:r>
      <w:r>
        <w:rPr/>
        <w:t>y el</w:t>
      </w:r>
      <w:r>
        <w:rPr>
          <w:spacing w:val="-2"/>
        </w:rPr>
        <w:t> </w:t>
      </w:r>
      <w:r>
        <w:rPr/>
        <w:t>presupuesto</w:t>
      </w:r>
      <w:r>
        <w:rPr>
          <w:spacing w:val="-1"/>
        </w:rPr>
        <w:t> </w:t>
      </w:r>
      <w:r>
        <w:rPr/>
        <w:t>asociado, así como el acuerdo de asociación, anexos y formatos. Los pagos se dividirán en una serie de transferencias semestrales iguales según el período de tiempo del compromiso.</w:t>
      </w:r>
      <w:r>
        <w:rPr>
          <w:spacing w:val="-1"/>
        </w:rPr>
        <w:t> </w:t>
      </w:r>
      <w:r>
        <w:rPr/>
        <w:t>Si</w:t>
      </w:r>
      <w:r>
        <w:rPr>
          <w:spacing w:val="-4"/>
        </w:rPr>
        <w:t> </w:t>
      </w:r>
      <w:r>
        <w:rPr/>
        <w:t>un</w:t>
      </w:r>
      <w:r>
        <w:rPr>
          <w:spacing w:val="-3"/>
        </w:rPr>
        <w:t> </w:t>
      </w:r>
      <w:r>
        <w:rPr/>
        <w:t>compromiso</w:t>
      </w:r>
      <w:r>
        <w:rPr>
          <w:spacing w:val="-1"/>
        </w:rPr>
        <w:t> </w:t>
      </w:r>
      <w:r>
        <w:rPr/>
        <w:t>de</w:t>
      </w:r>
      <w:r>
        <w:rPr>
          <w:spacing w:val="-1"/>
        </w:rPr>
        <w:t> </w:t>
      </w:r>
      <w:r>
        <w:rPr/>
        <w:t>DKK</w:t>
      </w:r>
      <w:r>
        <w:rPr>
          <w:spacing w:val="-1"/>
        </w:rPr>
        <w:t> </w:t>
      </w:r>
      <w:r>
        <w:rPr/>
        <w:t>9</w:t>
      </w:r>
      <w:r>
        <w:rPr>
          <w:spacing w:val="-3"/>
        </w:rPr>
        <w:t> </w:t>
      </w:r>
      <w:r>
        <w:rPr/>
        <w:t>mill.</w:t>
      </w:r>
      <w:r>
        <w:rPr>
          <w:spacing w:val="-1"/>
        </w:rPr>
        <w:t> </w:t>
      </w:r>
      <w:r>
        <w:rPr/>
        <w:t>tiene</w:t>
      </w:r>
      <w:r>
        <w:rPr>
          <w:spacing w:val="-1"/>
        </w:rPr>
        <w:t> </w:t>
      </w:r>
      <w:r>
        <w:rPr/>
        <w:t>un</w:t>
      </w:r>
      <w:r>
        <w:rPr>
          <w:spacing w:val="-3"/>
        </w:rPr>
        <w:t> </w:t>
      </w:r>
      <w:r>
        <w:rPr/>
        <w:t>período</w:t>
      </w:r>
      <w:r>
        <w:rPr>
          <w:spacing w:val="-1"/>
        </w:rPr>
        <w:t> </w:t>
      </w:r>
      <w:r>
        <w:rPr/>
        <w:t>de</w:t>
      </w:r>
      <w:r>
        <w:rPr>
          <w:spacing w:val="-3"/>
        </w:rPr>
        <w:t> </w:t>
      </w:r>
      <w:r>
        <w:rPr/>
        <w:t>4</w:t>
      </w:r>
      <w:r>
        <w:rPr>
          <w:spacing w:val="-1"/>
        </w:rPr>
        <w:t> </w:t>
      </w:r>
      <w:r>
        <w:rPr/>
        <w:t>años</w:t>
      </w:r>
      <w:r>
        <w:rPr>
          <w:spacing w:val="-2"/>
        </w:rPr>
        <w:t> </w:t>
      </w:r>
      <w:r>
        <w:rPr/>
        <w:t>y</w:t>
      </w:r>
      <w:r>
        <w:rPr>
          <w:spacing w:val="-2"/>
        </w:rPr>
        <w:t> </w:t>
      </w:r>
      <w:r>
        <w:rPr/>
        <w:t>medio, el pago semestral máximo será de 1 mill. DKK.</w:t>
      </w:r>
    </w:p>
    <w:p>
      <w:pPr>
        <w:pStyle w:val="BodyText"/>
        <w:spacing w:line="268" w:lineRule="auto" w:before="119"/>
        <w:ind w:left="968" w:right="858"/>
        <w:jc w:val="both"/>
      </w:pPr>
      <w:r>
        <w:rPr/>
        <w:t>Los fondos estarán disponibles bajo solicitud. Las primeras cuotas se pagarán una vez firmado el acuerdo de asociación. Cuando finalice el primer período de contratación de 18 meses, las siguientes cuotas incluidas la quinta cuota, se pagarán después de la aprobación de las cuentas auditadas. DIPD transferirá los fondos al EP (</w:t>
      </w:r>
      <w:r>
        <w:rPr>
          <w:i/>
        </w:rPr>
        <w:t>siglas en inglés Socio del Encargo</w:t>
      </w:r>
      <w:r>
        <w:rPr/>
        <w:t>) danés, que será responsable de las transferencias de fondos al socio.</w:t>
      </w:r>
    </w:p>
    <w:p>
      <w:pPr>
        <w:pStyle w:val="BodyText"/>
        <w:spacing w:line="268" w:lineRule="auto" w:before="135"/>
        <w:ind w:left="968" w:right="866"/>
        <w:jc w:val="both"/>
      </w:pPr>
      <w:r>
        <w:rPr/>
        <w:t>El</w:t>
      </w:r>
      <w:r>
        <w:rPr>
          <w:spacing w:val="-10"/>
        </w:rPr>
        <w:t> </w:t>
      </w:r>
      <w:r>
        <w:rPr/>
        <w:t>EP</w:t>
      </w:r>
      <w:r>
        <w:rPr>
          <w:spacing w:val="-11"/>
        </w:rPr>
        <w:t> </w:t>
      </w:r>
      <w:r>
        <w:rPr/>
        <w:t>enviará</w:t>
      </w:r>
      <w:r>
        <w:rPr>
          <w:spacing w:val="-9"/>
        </w:rPr>
        <w:t> </w:t>
      </w:r>
      <w:r>
        <w:rPr/>
        <w:t>una</w:t>
      </w:r>
      <w:r>
        <w:rPr>
          <w:spacing w:val="-11"/>
        </w:rPr>
        <w:t> </w:t>
      </w:r>
      <w:r>
        <w:rPr/>
        <w:t>solicitud</w:t>
      </w:r>
      <w:r>
        <w:rPr>
          <w:spacing w:val="-7"/>
        </w:rPr>
        <w:t> </w:t>
      </w:r>
      <w:r>
        <w:rPr/>
        <w:t>de</w:t>
      </w:r>
      <w:r>
        <w:rPr>
          <w:spacing w:val="-11"/>
        </w:rPr>
        <w:t> </w:t>
      </w:r>
      <w:r>
        <w:rPr/>
        <w:t>pago</w:t>
      </w:r>
      <w:r>
        <w:rPr>
          <w:spacing w:val="-9"/>
        </w:rPr>
        <w:t> </w:t>
      </w:r>
      <w:r>
        <w:rPr/>
        <w:t>a</w:t>
      </w:r>
      <w:r>
        <w:rPr>
          <w:spacing w:val="-9"/>
        </w:rPr>
        <w:t> </w:t>
      </w:r>
      <w:r>
        <w:rPr/>
        <w:t>la</w:t>
      </w:r>
      <w:r>
        <w:rPr>
          <w:spacing w:val="-9"/>
        </w:rPr>
        <w:t> </w:t>
      </w:r>
      <w:r>
        <w:rPr/>
        <w:t>secretaría</w:t>
      </w:r>
      <w:r>
        <w:rPr>
          <w:spacing w:val="-9"/>
        </w:rPr>
        <w:t> </w:t>
      </w:r>
      <w:r>
        <w:rPr/>
        <w:t>de</w:t>
      </w:r>
      <w:r>
        <w:rPr>
          <w:spacing w:val="-7"/>
        </w:rPr>
        <w:t> </w:t>
      </w:r>
      <w:r>
        <w:rPr/>
        <w:t>DIPD</w:t>
      </w:r>
      <w:r>
        <w:rPr>
          <w:spacing w:val="-11"/>
        </w:rPr>
        <w:t> </w:t>
      </w:r>
      <w:r>
        <w:rPr/>
        <w:t>(no</w:t>
      </w:r>
      <w:r>
        <w:rPr>
          <w:spacing w:val="-11"/>
        </w:rPr>
        <w:t> </w:t>
      </w:r>
      <w:r>
        <w:rPr/>
        <w:t>se</w:t>
      </w:r>
      <w:r>
        <w:rPr>
          <w:spacing w:val="-9"/>
        </w:rPr>
        <w:t> </w:t>
      </w:r>
      <w:r>
        <w:rPr/>
        <w:t>utiliza</w:t>
      </w:r>
      <w:r>
        <w:rPr>
          <w:spacing w:val="-11"/>
        </w:rPr>
        <w:t> </w:t>
      </w:r>
      <w:r>
        <w:rPr/>
        <w:t>un</w:t>
      </w:r>
      <w:r>
        <w:rPr>
          <w:spacing w:val="-11"/>
        </w:rPr>
        <w:t> </w:t>
      </w:r>
      <w:r>
        <w:rPr/>
        <w:t>formato fijo), quién realiza la transferencia sobre esta base. El EP debe confirmar la recepción</w:t>
      </w:r>
      <w:r>
        <w:rPr>
          <w:spacing w:val="-12"/>
        </w:rPr>
        <w:t> </w:t>
      </w:r>
      <w:r>
        <w:rPr/>
        <w:t>de</w:t>
      </w:r>
      <w:r>
        <w:rPr>
          <w:spacing w:val="-12"/>
        </w:rPr>
        <w:t> </w:t>
      </w:r>
      <w:r>
        <w:rPr/>
        <w:t>los</w:t>
      </w:r>
      <w:r>
        <w:rPr>
          <w:spacing w:val="-13"/>
        </w:rPr>
        <w:t> </w:t>
      </w:r>
      <w:r>
        <w:rPr/>
        <w:t>fondos</w:t>
      </w:r>
      <w:r>
        <w:rPr>
          <w:spacing w:val="-10"/>
        </w:rPr>
        <w:t> </w:t>
      </w:r>
      <w:r>
        <w:rPr/>
        <w:t>transferidos</w:t>
      </w:r>
      <w:r>
        <w:rPr>
          <w:spacing w:val="-10"/>
        </w:rPr>
        <w:t> </w:t>
      </w:r>
      <w:r>
        <w:rPr/>
        <w:t>a</w:t>
      </w:r>
      <w:r>
        <w:rPr>
          <w:spacing w:val="-14"/>
        </w:rPr>
        <w:t> </w:t>
      </w:r>
      <w:r>
        <w:rPr/>
        <w:t>su</w:t>
      </w:r>
      <w:r>
        <w:rPr>
          <w:spacing w:val="-12"/>
        </w:rPr>
        <w:t> </w:t>
      </w:r>
      <w:r>
        <w:rPr/>
        <w:t>cuenta</w:t>
      </w:r>
      <w:r>
        <w:rPr>
          <w:spacing w:val="-12"/>
        </w:rPr>
        <w:t> </w:t>
      </w:r>
      <w:r>
        <w:rPr/>
        <w:t>bancaria</w:t>
      </w:r>
      <w:r>
        <w:rPr>
          <w:spacing w:val="-14"/>
        </w:rPr>
        <w:t> </w:t>
      </w:r>
      <w:r>
        <w:rPr/>
        <w:t>con</w:t>
      </w:r>
      <w:r>
        <w:rPr>
          <w:spacing w:val="-12"/>
        </w:rPr>
        <w:t> </w:t>
      </w:r>
      <w:r>
        <w:rPr/>
        <w:t>un</w:t>
      </w:r>
      <w:r>
        <w:rPr>
          <w:spacing w:val="-14"/>
        </w:rPr>
        <w:t> </w:t>
      </w:r>
      <w:r>
        <w:rPr/>
        <w:t>correo</w:t>
      </w:r>
      <w:r>
        <w:rPr>
          <w:spacing w:val="-14"/>
        </w:rPr>
        <w:t> </w:t>
      </w:r>
      <w:r>
        <w:rPr/>
        <w:t>electrónico.</w:t>
      </w:r>
    </w:p>
    <w:p>
      <w:pPr>
        <w:pStyle w:val="BodyText"/>
        <w:rPr>
          <w:sz w:val="22"/>
        </w:rPr>
      </w:pPr>
    </w:p>
    <w:p>
      <w:pPr>
        <w:pStyle w:val="BodyText"/>
        <w:spacing w:before="9"/>
        <w:rPr>
          <w:sz w:val="22"/>
        </w:rPr>
      </w:pPr>
    </w:p>
    <w:p>
      <w:pPr>
        <w:pStyle w:val="Heading2"/>
        <w:numPr>
          <w:ilvl w:val="1"/>
          <w:numId w:val="4"/>
        </w:numPr>
        <w:tabs>
          <w:tab w:pos="1040" w:val="left" w:leader="none"/>
          <w:tab w:pos="1041" w:val="left" w:leader="none"/>
        </w:tabs>
        <w:spacing w:line="240" w:lineRule="auto" w:before="0" w:after="0"/>
        <w:ind w:left="1040" w:right="0" w:hanging="939"/>
        <w:jc w:val="left"/>
      </w:pPr>
      <w:bookmarkStart w:name="_TOC_250010" w:id="23"/>
      <w:r>
        <w:rPr>
          <w:color w:val="FF0000"/>
        </w:rPr>
        <w:t>PROCESOS</w:t>
      </w:r>
      <w:r>
        <w:rPr>
          <w:color w:val="FF0000"/>
          <w:spacing w:val="-1"/>
        </w:rPr>
        <w:t> </w:t>
      </w:r>
      <w:bookmarkEnd w:id="23"/>
      <w:r>
        <w:rPr>
          <w:color w:val="FF0000"/>
          <w:spacing w:val="-2"/>
        </w:rPr>
        <w:t>ADMINISTRATIVOS</w:t>
      </w:r>
    </w:p>
    <w:p>
      <w:pPr>
        <w:pStyle w:val="BodyText"/>
        <w:spacing w:line="268" w:lineRule="auto" w:before="186"/>
        <w:ind w:left="963" w:right="867" w:hanging="10"/>
        <w:jc w:val="both"/>
      </w:pPr>
      <w:r>
        <w:rPr/>
        <w:t>Hay una serie de tareas administrativas ligadas a la recepción de la subvención de gran importancia. Están por lo tanto detalladamente descritas en las siguientes </w:t>
      </w:r>
      <w:r>
        <w:rPr>
          <w:spacing w:val="-2"/>
        </w:rPr>
        <w:t>secciones.</w:t>
      </w:r>
    </w:p>
    <w:p>
      <w:pPr>
        <w:pStyle w:val="BodyText"/>
        <w:spacing w:before="11"/>
        <w:rPr>
          <w:sz w:val="31"/>
        </w:rPr>
      </w:pPr>
    </w:p>
    <w:p>
      <w:pPr>
        <w:pStyle w:val="Heading3"/>
        <w:numPr>
          <w:ilvl w:val="2"/>
          <w:numId w:val="4"/>
        </w:numPr>
        <w:tabs>
          <w:tab w:pos="604" w:val="left" w:leader="none"/>
        </w:tabs>
        <w:spacing w:line="240" w:lineRule="auto" w:before="0" w:after="0"/>
        <w:ind w:left="603" w:right="0" w:hanging="502"/>
        <w:jc w:val="left"/>
      </w:pPr>
      <w:bookmarkStart w:name="_TOC_250009" w:id="24"/>
      <w:r>
        <w:rPr>
          <w:color w:val="FF0000"/>
        </w:rPr>
        <w:t>ACUERDOS</w:t>
      </w:r>
      <w:r>
        <w:rPr>
          <w:color w:val="FF0000"/>
          <w:spacing w:val="-7"/>
        </w:rPr>
        <w:t> </w:t>
      </w:r>
      <w:r>
        <w:rPr>
          <w:color w:val="FF0000"/>
        </w:rPr>
        <w:t>BANCARIOS</w:t>
      </w:r>
      <w:r>
        <w:rPr>
          <w:color w:val="FF0000"/>
          <w:spacing w:val="-5"/>
        </w:rPr>
        <w:t> </w:t>
      </w:r>
      <w:r>
        <w:rPr>
          <w:color w:val="FF0000"/>
        </w:rPr>
        <w:t>Y</w:t>
      </w:r>
      <w:r>
        <w:rPr>
          <w:color w:val="FF0000"/>
          <w:spacing w:val="-8"/>
        </w:rPr>
        <w:t> </w:t>
      </w:r>
      <w:r>
        <w:rPr>
          <w:color w:val="FF0000"/>
        </w:rPr>
        <w:t>CUENTA</w:t>
      </w:r>
      <w:r>
        <w:rPr>
          <w:color w:val="FF0000"/>
          <w:spacing w:val="-6"/>
        </w:rPr>
        <w:t> </w:t>
      </w:r>
      <w:r>
        <w:rPr>
          <w:color w:val="FF0000"/>
        </w:rPr>
        <w:t>BANCARIA</w:t>
      </w:r>
      <w:r>
        <w:rPr>
          <w:color w:val="FF0000"/>
          <w:spacing w:val="-8"/>
        </w:rPr>
        <w:t> </w:t>
      </w:r>
      <w:bookmarkEnd w:id="24"/>
      <w:r>
        <w:rPr>
          <w:color w:val="FF0000"/>
          <w:spacing w:val="-2"/>
        </w:rPr>
        <w:t>INDEPENDIENTE</w:t>
      </w:r>
    </w:p>
    <w:p>
      <w:pPr>
        <w:pStyle w:val="BodyText"/>
        <w:spacing w:line="268" w:lineRule="auto" w:before="161"/>
        <w:ind w:left="963" w:right="864" w:hanging="10"/>
        <w:jc w:val="both"/>
      </w:pPr>
      <w:r>
        <w:rPr/>
        <w:t>Tanto</w:t>
      </w:r>
      <w:r>
        <w:rPr>
          <w:spacing w:val="-4"/>
        </w:rPr>
        <w:t> </w:t>
      </w:r>
      <w:r>
        <w:rPr/>
        <w:t>el</w:t>
      </w:r>
      <w:r>
        <w:rPr>
          <w:spacing w:val="-3"/>
        </w:rPr>
        <w:t> </w:t>
      </w:r>
      <w:r>
        <w:rPr/>
        <w:t>EP</w:t>
      </w:r>
      <w:r>
        <w:rPr>
          <w:spacing w:val="-4"/>
        </w:rPr>
        <w:t> </w:t>
      </w:r>
      <w:r>
        <w:rPr/>
        <w:t>como</w:t>
      </w:r>
      <w:r>
        <w:rPr>
          <w:spacing w:val="-4"/>
        </w:rPr>
        <w:t> </w:t>
      </w:r>
      <w:r>
        <w:rPr/>
        <w:t>sus</w:t>
      </w:r>
      <w:r>
        <w:rPr>
          <w:spacing w:val="-3"/>
        </w:rPr>
        <w:t> </w:t>
      </w:r>
      <w:r>
        <w:rPr/>
        <w:t>socios</w:t>
      </w:r>
      <w:r>
        <w:rPr>
          <w:spacing w:val="-3"/>
        </w:rPr>
        <w:t> </w:t>
      </w:r>
      <w:r>
        <w:rPr/>
        <w:t>deberán</w:t>
      </w:r>
      <w:r>
        <w:rPr>
          <w:spacing w:val="-5"/>
        </w:rPr>
        <w:t> </w:t>
      </w:r>
      <w:r>
        <w:rPr/>
        <w:t>abrir</w:t>
      </w:r>
      <w:r>
        <w:rPr>
          <w:spacing w:val="-4"/>
        </w:rPr>
        <w:t> </w:t>
      </w:r>
      <w:r>
        <w:rPr/>
        <w:t>una</w:t>
      </w:r>
      <w:r>
        <w:rPr>
          <w:spacing w:val="-4"/>
        </w:rPr>
        <w:t> </w:t>
      </w:r>
      <w:r>
        <w:rPr/>
        <w:t>cuenta</w:t>
      </w:r>
      <w:r>
        <w:rPr>
          <w:spacing w:val="-4"/>
        </w:rPr>
        <w:t> </w:t>
      </w:r>
      <w:r>
        <w:rPr/>
        <w:t>bancaria</w:t>
      </w:r>
      <w:r>
        <w:rPr>
          <w:spacing w:val="-2"/>
        </w:rPr>
        <w:t> </w:t>
      </w:r>
      <w:r>
        <w:rPr/>
        <w:t>independiente</w:t>
      </w:r>
      <w:r>
        <w:rPr>
          <w:spacing w:val="-4"/>
        </w:rPr>
        <w:t> </w:t>
      </w:r>
      <w:r>
        <w:rPr/>
        <w:t>que será</w:t>
      </w:r>
      <w:r>
        <w:rPr>
          <w:spacing w:val="-5"/>
        </w:rPr>
        <w:t> </w:t>
      </w:r>
      <w:r>
        <w:rPr/>
        <w:t>exclusivamente</w:t>
      </w:r>
      <w:r>
        <w:rPr>
          <w:spacing w:val="-3"/>
        </w:rPr>
        <w:t> </w:t>
      </w:r>
      <w:r>
        <w:rPr/>
        <w:t>utilizada</w:t>
      </w:r>
      <w:r>
        <w:rPr>
          <w:spacing w:val="-4"/>
        </w:rPr>
        <w:t> </w:t>
      </w:r>
      <w:r>
        <w:rPr/>
        <w:t>para</w:t>
      </w:r>
      <w:r>
        <w:rPr>
          <w:spacing w:val="-3"/>
        </w:rPr>
        <w:t> </w:t>
      </w:r>
      <w:r>
        <w:rPr/>
        <w:t>los fondos</w:t>
      </w:r>
      <w:r>
        <w:rPr>
          <w:spacing w:val="-2"/>
        </w:rPr>
        <w:t> </w:t>
      </w:r>
      <w:r>
        <w:rPr/>
        <w:t>de</w:t>
      </w:r>
      <w:r>
        <w:rPr>
          <w:spacing w:val="-4"/>
        </w:rPr>
        <w:t> </w:t>
      </w:r>
      <w:r>
        <w:rPr/>
        <w:t>DIPD.</w:t>
      </w:r>
      <w:r>
        <w:rPr>
          <w:spacing w:val="-5"/>
        </w:rPr>
        <w:t> </w:t>
      </w:r>
      <w:r>
        <w:rPr/>
        <w:t>Una</w:t>
      </w:r>
      <w:r>
        <w:rPr>
          <w:spacing w:val="-5"/>
        </w:rPr>
        <w:t> </w:t>
      </w:r>
      <w:r>
        <w:rPr/>
        <w:t>vez</w:t>
      </w:r>
      <w:r>
        <w:rPr>
          <w:spacing w:val="-2"/>
        </w:rPr>
        <w:t> </w:t>
      </w:r>
      <w:r>
        <w:rPr/>
        <w:t>DIPD</w:t>
      </w:r>
      <w:r>
        <w:rPr>
          <w:spacing w:val="-2"/>
        </w:rPr>
        <w:t> </w:t>
      </w:r>
      <w:r>
        <w:rPr/>
        <w:t>reciba</w:t>
      </w:r>
      <w:r>
        <w:rPr>
          <w:spacing w:val="-4"/>
        </w:rPr>
        <w:t> </w:t>
      </w:r>
      <w:r>
        <w:rPr/>
        <w:t>todos los</w:t>
      </w:r>
      <w:r>
        <w:rPr>
          <w:spacing w:val="-3"/>
        </w:rPr>
        <w:t> </w:t>
      </w:r>
      <w:r>
        <w:rPr/>
        <w:t>documentos</w:t>
      </w:r>
      <w:r>
        <w:rPr>
          <w:spacing w:val="-3"/>
        </w:rPr>
        <w:t> </w:t>
      </w:r>
      <w:r>
        <w:rPr/>
        <w:t>relevantes,</w:t>
      </w:r>
      <w:r>
        <w:rPr>
          <w:spacing w:val="-2"/>
        </w:rPr>
        <w:t> </w:t>
      </w:r>
      <w:r>
        <w:rPr/>
        <w:t>se</w:t>
      </w:r>
      <w:r>
        <w:rPr>
          <w:spacing w:val="-4"/>
        </w:rPr>
        <w:t> </w:t>
      </w:r>
      <w:r>
        <w:rPr/>
        <w:t>podrá</w:t>
      </w:r>
      <w:r>
        <w:rPr>
          <w:spacing w:val="-2"/>
        </w:rPr>
        <w:t> </w:t>
      </w:r>
      <w:r>
        <w:rPr/>
        <w:t>comenzar</w:t>
      </w:r>
      <w:r>
        <w:rPr>
          <w:spacing w:val="-4"/>
        </w:rPr>
        <w:t> </w:t>
      </w:r>
      <w:r>
        <w:rPr/>
        <w:t>a</w:t>
      </w:r>
      <w:r>
        <w:rPr>
          <w:spacing w:val="-4"/>
        </w:rPr>
        <w:t> </w:t>
      </w:r>
      <w:r>
        <w:rPr/>
        <w:t>realizar</w:t>
      </w:r>
      <w:r>
        <w:rPr>
          <w:spacing w:val="-4"/>
        </w:rPr>
        <w:t> </w:t>
      </w:r>
      <w:r>
        <w:rPr/>
        <w:t>transferencias</w:t>
      </w:r>
      <w:r>
        <w:rPr>
          <w:spacing w:val="-3"/>
        </w:rPr>
        <w:t> </w:t>
      </w:r>
      <w:r>
        <w:rPr/>
        <w:t>bancarias.</w:t>
      </w:r>
    </w:p>
    <w:p>
      <w:pPr>
        <w:pStyle w:val="Heading3"/>
        <w:numPr>
          <w:ilvl w:val="2"/>
          <w:numId w:val="4"/>
        </w:numPr>
        <w:tabs>
          <w:tab w:pos="769" w:val="left" w:leader="none"/>
          <w:tab w:pos="770" w:val="left" w:leader="none"/>
        </w:tabs>
        <w:spacing w:line="240" w:lineRule="auto" w:before="130" w:after="0"/>
        <w:ind w:left="769" w:right="0" w:hanging="668"/>
        <w:jc w:val="left"/>
      </w:pPr>
      <w:r>
        <w:rPr>
          <w:color w:val="FF0000"/>
        </w:rPr>
        <w:t>FUNCIÓN</w:t>
      </w:r>
      <w:r>
        <w:rPr>
          <w:color w:val="FF0000"/>
          <w:spacing w:val="-5"/>
        </w:rPr>
        <w:t> </w:t>
      </w:r>
      <w:r>
        <w:rPr>
          <w:color w:val="FF0000"/>
        </w:rPr>
        <w:t>DE</w:t>
      </w:r>
      <w:r>
        <w:rPr>
          <w:color w:val="FF0000"/>
          <w:spacing w:val="-5"/>
        </w:rPr>
        <w:t> </w:t>
      </w:r>
      <w:r>
        <w:rPr>
          <w:color w:val="FF0000"/>
        </w:rPr>
        <w:t>TENEDURÍA</w:t>
      </w:r>
      <w:r>
        <w:rPr>
          <w:color w:val="FF0000"/>
          <w:spacing w:val="-6"/>
        </w:rPr>
        <w:t> </w:t>
      </w:r>
      <w:r>
        <w:rPr>
          <w:color w:val="FF0000"/>
        </w:rPr>
        <w:t>DE</w:t>
      </w:r>
      <w:r>
        <w:rPr>
          <w:color w:val="FF0000"/>
          <w:spacing w:val="-5"/>
        </w:rPr>
        <w:t> </w:t>
      </w:r>
      <w:r>
        <w:rPr>
          <w:color w:val="FF0000"/>
        </w:rPr>
        <w:t>LIBROS</w:t>
      </w:r>
      <w:r>
        <w:rPr>
          <w:color w:val="FF0000"/>
          <w:spacing w:val="-4"/>
        </w:rPr>
        <w:t> </w:t>
      </w:r>
      <w:r>
        <w:rPr>
          <w:color w:val="FF0000"/>
        </w:rPr>
        <w:t>Y</w:t>
      </w:r>
      <w:r>
        <w:rPr>
          <w:color w:val="FF0000"/>
          <w:spacing w:val="-4"/>
        </w:rPr>
        <w:t> </w:t>
      </w:r>
      <w:r>
        <w:rPr>
          <w:color w:val="FF0000"/>
          <w:spacing w:val="-2"/>
        </w:rPr>
        <w:t>CONTABILIDAD</w:t>
      </w:r>
    </w:p>
    <w:p>
      <w:pPr>
        <w:pStyle w:val="BodyText"/>
        <w:rPr>
          <w:sz w:val="22"/>
        </w:rPr>
      </w:pPr>
    </w:p>
    <w:p>
      <w:pPr>
        <w:pStyle w:val="BodyText"/>
        <w:spacing w:before="3"/>
        <w:rPr>
          <w:sz w:val="25"/>
        </w:rPr>
      </w:pPr>
    </w:p>
    <w:p>
      <w:pPr>
        <w:pStyle w:val="BodyText"/>
        <w:spacing w:line="271" w:lineRule="auto"/>
        <w:ind w:left="963" w:right="869" w:hanging="10"/>
        <w:jc w:val="both"/>
      </w:pPr>
      <w:r>
        <w:rPr/>
        <w:t>El EP deberá mantener o</w:t>
      </w:r>
      <w:r>
        <w:rPr>
          <w:spacing w:val="-2"/>
        </w:rPr>
        <w:t> </w:t>
      </w:r>
      <w:r>
        <w:rPr/>
        <w:t>crear</w:t>
      </w:r>
      <w:r>
        <w:rPr>
          <w:spacing w:val="-1"/>
        </w:rPr>
        <w:t> </w:t>
      </w:r>
      <w:r>
        <w:rPr/>
        <w:t>un</w:t>
      </w:r>
      <w:r>
        <w:rPr>
          <w:spacing w:val="-3"/>
        </w:rPr>
        <w:t> </w:t>
      </w:r>
      <w:r>
        <w:rPr/>
        <w:t>sistema de</w:t>
      </w:r>
      <w:r>
        <w:rPr>
          <w:spacing w:val="-3"/>
        </w:rPr>
        <w:t> </w:t>
      </w:r>
      <w:r>
        <w:rPr/>
        <w:t>contabilidad</w:t>
      </w:r>
      <w:r>
        <w:rPr>
          <w:spacing w:val="-2"/>
        </w:rPr>
        <w:t> </w:t>
      </w:r>
      <w:r>
        <w:rPr/>
        <w:t>seguro</w:t>
      </w:r>
      <w:r>
        <w:rPr>
          <w:spacing w:val="-2"/>
        </w:rPr>
        <w:t> </w:t>
      </w:r>
      <w:r>
        <w:rPr/>
        <w:t>y</w:t>
      </w:r>
      <w:r>
        <w:rPr>
          <w:spacing w:val="-1"/>
        </w:rPr>
        <w:t> </w:t>
      </w:r>
      <w:r>
        <w:rPr/>
        <w:t>fiable, además de tener una función de contabilidad para llevar a cabo la contabilidad de la asociación y la transferencia de fondos.</w:t>
      </w:r>
    </w:p>
    <w:p>
      <w:pPr>
        <w:pStyle w:val="BodyText"/>
        <w:spacing w:line="271" w:lineRule="auto" w:before="122"/>
        <w:ind w:left="963" w:right="863" w:hanging="10"/>
        <w:jc w:val="both"/>
      </w:pPr>
      <w:r>
        <w:rPr/>
        <w:t>El sistema de contabilidad debe adaptarse a la contabilidad basada en resultados (</w:t>
      </w:r>
      <w:r>
        <w:rPr>
          <w:i/>
        </w:rPr>
        <w:t>outcome-based accounting) </w:t>
      </w:r>
      <w:r>
        <w:rPr/>
        <w:t>y debe presentarse de la misma manera que el </w:t>
      </w:r>
      <w:r>
        <w:rPr>
          <w:spacing w:val="-2"/>
        </w:rPr>
        <w:t>presupuesto.</w:t>
      </w:r>
    </w:p>
    <w:p>
      <w:pPr>
        <w:pStyle w:val="BodyText"/>
        <w:spacing w:line="271" w:lineRule="auto" w:before="123"/>
        <w:ind w:left="963" w:right="857" w:hanging="10"/>
        <w:jc w:val="both"/>
      </w:pPr>
      <w:r>
        <w:rPr/>
        <w:pict>
          <v:line style="position:absolute;mso-position-horizontal-relative:page;mso-position-vertical-relative:paragraph;z-index:15744000" from="345.899994pt,128.669891pt" to="483.549994pt,128.669891pt" stroked="true" strokeweight=".96pt" strokecolor="#000000">
            <v:stroke dashstyle="shortdot"/>
            <w10:wrap type="none"/>
          </v:line>
        </w:pict>
      </w:r>
      <w:r>
        <w:rPr/>
        <w:t>El</w:t>
      </w:r>
      <w:r>
        <w:rPr>
          <w:spacing w:val="-3"/>
        </w:rPr>
        <w:t> </w:t>
      </w:r>
      <w:r>
        <w:rPr/>
        <w:t>EP</w:t>
      </w:r>
      <w:r>
        <w:rPr>
          <w:spacing w:val="-2"/>
        </w:rPr>
        <w:t> </w:t>
      </w:r>
      <w:r>
        <w:rPr/>
        <w:t>deberá</w:t>
      </w:r>
      <w:r>
        <w:rPr>
          <w:spacing w:val="-4"/>
        </w:rPr>
        <w:t> </w:t>
      </w:r>
      <w:r>
        <w:rPr/>
        <w:t>garantizar</w:t>
      </w:r>
      <w:r>
        <w:rPr>
          <w:spacing w:val="-4"/>
        </w:rPr>
        <w:t> </w:t>
      </w:r>
      <w:r>
        <w:rPr/>
        <w:t>que</w:t>
      </w:r>
      <w:r>
        <w:rPr>
          <w:spacing w:val="-4"/>
        </w:rPr>
        <w:t> </w:t>
      </w:r>
      <w:r>
        <w:rPr/>
        <w:t>los</w:t>
      </w:r>
      <w:r>
        <w:rPr>
          <w:spacing w:val="-3"/>
        </w:rPr>
        <w:t> </w:t>
      </w:r>
      <w:r>
        <w:rPr/>
        <w:t>procesos</w:t>
      </w:r>
      <w:r>
        <w:rPr>
          <w:spacing w:val="-3"/>
        </w:rPr>
        <w:t> </w:t>
      </w:r>
      <w:r>
        <w:rPr/>
        <w:t>financieros</w:t>
      </w:r>
      <w:r>
        <w:rPr>
          <w:spacing w:val="-3"/>
        </w:rPr>
        <w:t> </w:t>
      </w:r>
      <w:r>
        <w:rPr/>
        <w:t>son</w:t>
      </w:r>
      <w:r>
        <w:rPr>
          <w:spacing w:val="-5"/>
        </w:rPr>
        <w:t> </w:t>
      </w:r>
      <w:r>
        <w:rPr/>
        <w:t>seguros</w:t>
      </w:r>
      <w:r>
        <w:rPr>
          <w:spacing w:val="-3"/>
        </w:rPr>
        <w:t> </w:t>
      </w:r>
      <w:r>
        <w:rPr/>
        <w:t>y</w:t>
      </w:r>
      <w:r>
        <w:rPr>
          <w:spacing w:val="-3"/>
        </w:rPr>
        <w:t> </w:t>
      </w:r>
      <w:r>
        <w:rPr/>
        <w:t>que</w:t>
      </w:r>
      <w:r>
        <w:rPr>
          <w:spacing w:val="-4"/>
        </w:rPr>
        <w:t> </w:t>
      </w:r>
      <w:r>
        <w:rPr/>
        <w:t>tanto</w:t>
      </w:r>
      <w:r>
        <w:rPr>
          <w:spacing w:val="-3"/>
        </w:rPr>
        <w:t> </w:t>
      </w:r>
      <w:r>
        <w:rPr/>
        <w:t>en</w:t>
      </w:r>
      <w:r>
        <w:rPr>
          <w:spacing w:val="-2"/>
        </w:rPr>
        <w:t> </w:t>
      </w:r>
      <w:r>
        <w:rPr/>
        <w:t>la organización del EP como en la de la organización socia hay un control interno y adecuado con una división apropiada entre la teneduría de libros, los pagos y el control. La contabilidad del EP y de su socio deberán estar actualizadas regularmente, y justificadas con los documentos pertinentes siguiendo unos principios de contabilidad y teneduría de libros apropiados.</w:t>
      </w:r>
    </w:p>
    <w:p>
      <w:pPr>
        <w:spacing w:after="0" w:line="271" w:lineRule="auto"/>
        <w:jc w:val="both"/>
        <w:sectPr>
          <w:headerReference w:type="default" r:id="rId42"/>
          <w:footerReference w:type="default" r:id="rId43"/>
          <w:pgSz w:w="11910" w:h="16850"/>
          <w:pgMar w:header="718" w:footer="843" w:top="940" w:bottom="1040" w:left="1300" w:right="1400"/>
        </w:sectPr>
      </w:pPr>
    </w:p>
    <w:p>
      <w:pPr>
        <w:pStyle w:val="BodyText"/>
      </w:pPr>
    </w:p>
    <w:p>
      <w:pPr>
        <w:pStyle w:val="BodyText"/>
      </w:pPr>
    </w:p>
    <w:p>
      <w:pPr>
        <w:pStyle w:val="BodyText"/>
        <w:spacing w:before="2"/>
        <w:rPr>
          <w:sz w:val="21"/>
        </w:rPr>
      </w:pPr>
    </w:p>
    <w:p>
      <w:pPr>
        <w:pStyle w:val="BodyText"/>
        <w:spacing w:line="271" w:lineRule="auto" w:before="93"/>
        <w:ind w:left="963" w:right="866" w:hanging="10"/>
        <w:jc w:val="both"/>
      </w:pPr>
      <w:r>
        <w:rPr/>
        <w:t>Para garantizar lo explicado anteriormente, se podrá establecer un cuadrante de cuentas/sistema de contabilidad de la siguiente manera;</w:t>
      </w:r>
    </w:p>
    <w:p>
      <w:pPr>
        <w:spacing w:line="268" w:lineRule="auto" w:before="124"/>
        <w:ind w:left="1520" w:right="859" w:hanging="425"/>
        <w:jc w:val="both"/>
        <w:rPr>
          <w:i/>
          <w:sz w:val="20"/>
        </w:rPr>
      </w:pPr>
      <w:r>
        <w:rPr>
          <w:rFonts w:ascii="Segoe UI Symbol" w:hAnsi="Segoe UI Symbol"/>
          <w:color w:val="FF0000"/>
          <w:sz w:val="20"/>
        </w:rPr>
        <w:t>→</w:t>
      </w:r>
      <w:r>
        <w:rPr>
          <w:rFonts w:ascii="Segoe UI Symbol" w:hAnsi="Segoe UI Symbol"/>
          <w:color w:val="FF0000"/>
          <w:spacing w:val="-12"/>
          <w:sz w:val="20"/>
        </w:rPr>
        <w:t> </w:t>
      </w:r>
      <w:r>
        <w:rPr>
          <w:i/>
          <w:sz w:val="20"/>
        </w:rPr>
        <w:t>Establecimiento</w:t>
      </w:r>
      <w:r>
        <w:rPr>
          <w:i/>
          <w:spacing w:val="-12"/>
          <w:sz w:val="20"/>
        </w:rPr>
        <w:t> </w:t>
      </w:r>
      <w:r>
        <w:rPr>
          <w:i/>
          <w:sz w:val="20"/>
        </w:rPr>
        <w:t>de</w:t>
      </w:r>
      <w:r>
        <w:rPr>
          <w:i/>
          <w:spacing w:val="-14"/>
          <w:sz w:val="20"/>
        </w:rPr>
        <w:t> </w:t>
      </w:r>
      <w:r>
        <w:rPr>
          <w:i/>
          <w:sz w:val="20"/>
        </w:rPr>
        <w:t>cuentas</w:t>
      </w:r>
      <w:r>
        <w:rPr>
          <w:i/>
          <w:spacing w:val="-13"/>
          <w:sz w:val="20"/>
        </w:rPr>
        <w:t> </w:t>
      </w:r>
      <w:r>
        <w:rPr>
          <w:i/>
          <w:sz w:val="20"/>
        </w:rPr>
        <w:t>operativas,</w:t>
      </w:r>
      <w:r>
        <w:rPr>
          <w:i/>
          <w:spacing w:val="-14"/>
          <w:sz w:val="20"/>
        </w:rPr>
        <w:t> </w:t>
      </w:r>
      <w:r>
        <w:rPr>
          <w:i/>
          <w:sz w:val="20"/>
        </w:rPr>
        <w:t>que</w:t>
      </w:r>
      <w:r>
        <w:rPr>
          <w:i/>
          <w:spacing w:val="-14"/>
          <w:sz w:val="20"/>
        </w:rPr>
        <w:t> </w:t>
      </w:r>
      <w:r>
        <w:rPr>
          <w:i/>
          <w:sz w:val="20"/>
        </w:rPr>
        <w:t>siguen</w:t>
      </w:r>
      <w:r>
        <w:rPr>
          <w:i/>
          <w:spacing w:val="-14"/>
          <w:sz w:val="20"/>
        </w:rPr>
        <w:t> </w:t>
      </w:r>
      <w:r>
        <w:rPr>
          <w:i/>
          <w:sz w:val="20"/>
        </w:rPr>
        <w:t>el</w:t>
      </w:r>
      <w:r>
        <w:rPr>
          <w:i/>
          <w:spacing w:val="-12"/>
          <w:sz w:val="20"/>
        </w:rPr>
        <w:t> </w:t>
      </w:r>
      <w:r>
        <w:rPr>
          <w:i/>
          <w:sz w:val="20"/>
        </w:rPr>
        <w:t>presupuesto</w:t>
      </w:r>
      <w:r>
        <w:rPr>
          <w:i/>
          <w:spacing w:val="-8"/>
          <w:sz w:val="20"/>
        </w:rPr>
        <w:t> </w:t>
      </w:r>
      <w:r>
        <w:rPr>
          <w:i/>
          <w:sz w:val="20"/>
        </w:rPr>
        <w:t>como</w:t>
      </w:r>
      <w:r>
        <w:rPr>
          <w:i/>
          <w:spacing w:val="-14"/>
          <w:sz w:val="20"/>
        </w:rPr>
        <w:t> </w:t>
      </w:r>
      <w:r>
        <w:rPr>
          <w:i/>
          <w:sz w:val="20"/>
        </w:rPr>
        <w:t>ha</w:t>
      </w:r>
      <w:r>
        <w:rPr>
          <w:i/>
          <w:spacing w:val="-14"/>
          <w:sz w:val="20"/>
        </w:rPr>
        <w:t> </w:t>
      </w:r>
      <w:r>
        <w:rPr>
          <w:i/>
          <w:sz w:val="20"/>
        </w:rPr>
        <w:t>sido</w:t>
      </w:r>
      <w:r>
        <w:rPr>
          <w:i/>
          <w:sz w:val="20"/>
        </w:rPr>
        <w:t> establecido por la Ejecutiva de DIPD.</w:t>
      </w:r>
    </w:p>
    <w:p>
      <w:pPr>
        <w:spacing w:line="268" w:lineRule="auto" w:before="1"/>
        <w:ind w:left="1520" w:right="859" w:hanging="425"/>
        <w:jc w:val="both"/>
        <w:rPr>
          <w:i/>
          <w:sz w:val="20"/>
        </w:rPr>
      </w:pPr>
      <w:r>
        <w:rPr>
          <w:rFonts w:ascii="Segoe UI Symbol" w:hAnsi="Segoe UI Symbol"/>
          <w:color w:val="FF0000"/>
          <w:sz w:val="20"/>
        </w:rPr>
        <w:t>→</w:t>
      </w:r>
      <w:r>
        <w:rPr>
          <w:rFonts w:ascii="Segoe UI Symbol" w:hAnsi="Segoe UI Symbol"/>
          <w:color w:val="FF0000"/>
          <w:spacing w:val="-8"/>
          <w:sz w:val="20"/>
        </w:rPr>
        <w:t> </w:t>
      </w:r>
      <w:r>
        <w:rPr>
          <w:i/>
          <w:sz w:val="20"/>
        </w:rPr>
        <w:t>Configuración</w:t>
      </w:r>
      <w:r>
        <w:rPr>
          <w:i/>
          <w:spacing w:val="-10"/>
          <w:sz w:val="20"/>
        </w:rPr>
        <w:t> </w:t>
      </w:r>
      <w:r>
        <w:rPr>
          <w:i/>
          <w:sz w:val="20"/>
        </w:rPr>
        <w:t>de</w:t>
      </w:r>
      <w:r>
        <w:rPr>
          <w:i/>
          <w:spacing w:val="-8"/>
          <w:sz w:val="20"/>
        </w:rPr>
        <w:t> </w:t>
      </w:r>
      <w:r>
        <w:rPr>
          <w:i/>
          <w:sz w:val="20"/>
        </w:rPr>
        <w:t>las</w:t>
      </w:r>
      <w:r>
        <w:rPr>
          <w:i/>
          <w:spacing w:val="-9"/>
          <w:sz w:val="20"/>
        </w:rPr>
        <w:t> </w:t>
      </w:r>
      <w:r>
        <w:rPr>
          <w:i/>
          <w:sz w:val="20"/>
        </w:rPr>
        <w:t>cuentas</w:t>
      </w:r>
      <w:r>
        <w:rPr>
          <w:i/>
          <w:spacing w:val="-9"/>
          <w:sz w:val="20"/>
        </w:rPr>
        <w:t> </w:t>
      </w:r>
      <w:r>
        <w:rPr>
          <w:i/>
          <w:sz w:val="20"/>
        </w:rPr>
        <w:t>de</w:t>
      </w:r>
      <w:r>
        <w:rPr>
          <w:i/>
          <w:spacing w:val="-8"/>
          <w:sz w:val="20"/>
        </w:rPr>
        <w:t> </w:t>
      </w:r>
      <w:r>
        <w:rPr>
          <w:i/>
          <w:sz w:val="20"/>
        </w:rPr>
        <w:t>saldo</w:t>
      </w:r>
      <w:r>
        <w:rPr>
          <w:i/>
          <w:spacing w:val="-10"/>
          <w:sz w:val="20"/>
        </w:rPr>
        <w:t> </w:t>
      </w:r>
      <w:r>
        <w:rPr>
          <w:i/>
          <w:sz w:val="20"/>
        </w:rPr>
        <w:t>bajo</w:t>
      </w:r>
      <w:r>
        <w:rPr>
          <w:i/>
          <w:spacing w:val="-8"/>
          <w:sz w:val="20"/>
        </w:rPr>
        <w:t> </w:t>
      </w:r>
      <w:r>
        <w:rPr>
          <w:i/>
          <w:sz w:val="20"/>
        </w:rPr>
        <w:t>activos:</w:t>
      </w:r>
      <w:r>
        <w:rPr>
          <w:i/>
          <w:spacing w:val="-7"/>
          <w:sz w:val="20"/>
        </w:rPr>
        <w:t> </w:t>
      </w:r>
      <w:r>
        <w:rPr>
          <w:i/>
          <w:sz w:val="20"/>
        </w:rPr>
        <w:t>una</w:t>
      </w:r>
      <w:r>
        <w:rPr>
          <w:i/>
          <w:spacing w:val="-10"/>
          <w:sz w:val="20"/>
        </w:rPr>
        <w:t> </w:t>
      </w:r>
      <w:r>
        <w:rPr>
          <w:i/>
          <w:sz w:val="20"/>
        </w:rPr>
        <w:t>para</w:t>
      </w:r>
      <w:r>
        <w:rPr>
          <w:i/>
          <w:spacing w:val="-10"/>
          <w:sz w:val="20"/>
        </w:rPr>
        <w:t> </w:t>
      </w:r>
      <w:r>
        <w:rPr>
          <w:i/>
          <w:sz w:val="20"/>
        </w:rPr>
        <w:t>la</w:t>
      </w:r>
      <w:r>
        <w:rPr>
          <w:i/>
          <w:spacing w:val="-10"/>
          <w:sz w:val="20"/>
        </w:rPr>
        <w:t> </w:t>
      </w:r>
      <w:r>
        <w:rPr>
          <w:i/>
          <w:sz w:val="20"/>
        </w:rPr>
        <w:t>cuenta</w:t>
      </w:r>
      <w:r>
        <w:rPr>
          <w:i/>
          <w:spacing w:val="-8"/>
          <w:sz w:val="20"/>
        </w:rPr>
        <w:t> </w:t>
      </w:r>
      <w:r>
        <w:rPr>
          <w:i/>
          <w:sz w:val="20"/>
        </w:rPr>
        <w:t>bancaria</w:t>
      </w:r>
      <w:r>
        <w:rPr>
          <w:i/>
          <w:sz w:val="20"/>
        </w:rPr>
        <w:t> DIPD y otra para la transferencia de fondos al socio.</w:t>
      </w:r>
    </w:p>
    <w:p>
      <w:pPr>
        <w:spacing w:line="268" w:lineRule="auto" w:before="0"/>
        <w:ind w:left="1520" w:right="860" w:hanging="425"/>
        <w:jc w:val="both"/>
        <w:rPr>
          <w:i/>
          <w:sz w:val="20"/>
        </w:rPr>
      </w:pPr>
      <w:r>
        <w:rPr>
          <w:rFonts w:ascii="Segoe UI Symbol" w:hAnsi="Segoe UI Symbol"/>
          <w:color w:val="FF0000"/>
          <w:sz w:val="20"/>
        </w:rPr>
        <w:t>→ </w:t>
      </w:r>
      <w:r>
        <w:rPr>
          <w:i/>
          <w:sz w:val="20"/>
        </w:rPr>
        <w:t>Configurar las cuentas de saldo bajo pasivos; una para la subvención de la</w:t>
      </w:r>
      <w:r>
        <w:rPr>
          <w:i/>
          <w:sz w:val="20"/>
        </w:rPr>
        <w:t> asociación y la otra para la liquidación con DIPD (reembolso de fondos no </w:t>
      </w:r>
      <w:r>
        <w:rPr>
          <w:i/>
          <w:spacing w:val="-2"/>
          <w:sz w:val="20"/>
        </w:rPr>
        <w:t>utilizados).</w:t>
      </w:r>
    </w:p>
    <w:p>
      <w:pPr>
        <w:pStyle w:val="BodyText"/>
        <w:spacing w:line="268" w:lineRule="auto" w:before="127"/>
        <w:ind w:left="963" w:right="862" w:hanging="10"/>
        <w:jc w:val="both"/>
      </w:pPr>
      <w:r>
        <w:rPr/>
        <w:t>La</w:t>
      </w:r>
      <w:r>
        <w:rPr>
          <w:spacing w:val="-14"/>
        </w:rPr>
        <w:t> </w:t>
      </w:r>
      <w:r>
        <w:rPr/>
        <w:t>creación</w:t>
      </w:r>
      <w:r>
        <w:rPr>
          <w:spacing w:val="-14"/>
        </w:rPr>
        <w:t> </w:t>
      </w:r>
      <w:r>
        <w:rPr/>
        <w:t>de</w:t>
      </w:r>
      <w:r>
        <w:rPr>
          <w:spacing w:val="-14"/>
        </w:rPr>
        <w:t> </w:t>
      </w:r>
      <w:r>
        <w:rPr/>
        <w:t>estas</w:t>
      </w:r>
      <w:r>
        <w:rPr>
          <w:spacing w:val="-14"/>
        </w:rPr>
        <w:t> </w:t>
      </w:r>
      <w:r>
        <w:rPr/>
        <w:t>cuentas</w:t>
      </w:r>
      <w:r>
        <w:rPr>
          <w:spacing w:val="-12"/>
        </w:rPr>
        <w:t> </w:t>
      </w:r>
      <w:r>
        <w:rPr/>
        <w:t>asegurará</w:t>
      </w:r>
      <w:r>
        <w:rPr>
          <w:spacing w:val="-14"/>
        </w:rPr>
        <w:t> </w:t>
      </w:r>
      <w:r>
        <w:rPr/>
        <w:t>una</w:t>
      </w:r>
      <w:r>
        <w:rPr>
          <w:spacing w:val="-14"/>
        </w:rPr>
        <w:t> </w:t>
      </w:r>
      <w:r>
        <w:rPr/>
        <w:t>descripción</w:t>
      </w:r>
      <w:r>
        <w:rPr>
          <w:spacing w:val="-14"/>
        </w:rPr>
        <w:t> </w:t>
      </w:r>
      <w:r>
        <w:rPr/>
        <w:t>clara</w:t>
      </w:r>
      <w:r>
        <w:rPr>
          <w:spacing w:val="-13"/>
        </w:rPr>
        <w:t> </w:t>
      </w:r>
      <w:r>
        <w:rPr/>
        <w:t>del</w:t>
      </w:r>
      <w:r>
        <w:rPr>
          <w:spacing w:val="-14"/>
        </w:rPr>
        <w:t> </w:t>
      </w:r>
      <w:r>
        <w:rPr/>
        <w:t>estado</w:t>
      </w:r>
      <w:r>
        <w:rPr>
          <w:spacing w:val="-14"/>
        </w:rPr>
        <w:t> </w:t>
      </w:r>
      <w:r>
        <w:rPr/>
        <w:t>económico de</w:t>
      </w:r>
      <w:r>
        <w:rPr>
          <w:spacing w:val="-12"/>
        </w:rPr>
        <w:t> </w:t>
      </w:r>
      <w:r>
        <w:rPr/>
        <w:t>la</w:t>
      </w:r>
      <w:r>
        <w:rPr>
          <w:spacing w:val="-12"/>
        </w:rPr>
        <w:t> </w:t>
      </w:r>
      <w:r>
        <w:rPr/>
        <w:t>asociación</w:t>
      </w:r>
      <w:r>
        <w:rPr>
          <w:spacing w:val="-12"/>
        </w:rPr>
        <w:t> </w:t>
      </w:r>
      <w:r>
        <w:rPr/>
        <w:t>entre</w:t>
      </w:r>
      <w:r>
        <w:rPr>
          <w:spacing w:val="-12"/>
        </w:rPr>
        <w:t> </w:t>
      </w:r>
      <w:r>
        <w:rPr/>
        <w:t>partidos,</w:t>
      </w:r>
      <w:r>
        <w:rPr>
          <w:spacing w:val="-14"/>
        </w:rPr>
        <w:t> </w:t>
      </w:r>
      <w:r>
        <w:rPr/>
        <w:t>además</w:t>
      </w:r>
      <w:r>
        <w:rPr>
          <w:spacing w:val="-10"/>
        </w:rPr>
        <w:t> </w:t>
      </w:r>
      <w:r>
        <w:rPr/>
        <w:t>este</w:t>
      </w:r>
      <w:r>
        <w:rPr>
          <w:spacing w:val="-12"/>
        </w:rPr>
        <w:t> </w:t>
      </w:r>
      <w:r>
        <w:rPr/>
        <w:t>esquema</w:t>
      </w:r>
      <w:r>
        <w:rPr>
          <w:spacing w:val="-12"/>
        </w:rPr>
        <w:t> </w:t>
      </w:r>
      <w:r>
        <w:rPr/>
        <w:t>podrá</w:t>
      </w:r>
      <w:r>
        <w:rPr>
          <w:spacing w:val="-13"/>
        </w:rPr>
        <w:t> </w:t>
      </w:r>
      <w:r>
        <w:rPr/>
        <w:t>ser</w:t>
      </w:r>
      <w:r>
        <w:rPr>
          <w:spacing w:val="-11"/>
        </w:rPr>
        <w:t> </w:t>
      </w:r>
      <w:r>
        <w:rPr/>
        <w:t>utilizado</w:t>
      </w:r>
      <w:r>
        <w:rPr>
          <w:spacing w:val="-12"/>
        </w:rPr>
        <w:t> </w:t>
      </w:r>
      <w:r>
        <w:rPr/>
        <w:t>más</w:t>
      </w:r>
      <w:r>
        <w:rPr>
          <w:spacing w:val="-12"/>
        </w:rPr>
        <w:t> </w:t>
      </w:r>
      <w:r>
        <w:rPr/>
        <w:t>tarde para la redacción del informe final.</w:t>
      </w:r>
    </w:p>
    <w:p>
      <w:pPr>
        <w:pStyle w:val="BodyText"/>
        <w:spacing w:line="268" w:lineRule="auto" w:before="130"/>
        <w:ind w:left="963" w:right="858" w:hanging="10"/>
        <w:jc w:val="both"/>
      </w:pPr>
      <w:r>
        <w:rPr/>
        <w:t>El EP debe conservar los datos de la contabilidad de la asociación de acuerdo con los requisitos de la Ley de Contabilidad de Dinamarca (</w:t>
      </w:r>
      <w:r>
        <w:rPr>
          <w:i/>
        </w:rPr>
        <w:t>Danish Bookkeeping Act) </w:t>
      </w:r>
      <w:r>
        <w:rPr/>
        <w:t>y durante 5 años después de la finalización de la asociación.</w:t>
      </w:r>
    </w:p>
    <w:p>
      <w:pPr>
        <w:pStyle w:val="BodyText"/>
        <w:spacing w:line="268" w:lineRule="auto" w:before="129"/>
        <w:ind w:left="963" w:right="869" w:hanging="10"/>
        <w:jc w:val="both"/>
      </w:pPr>
      <w:r>
        <w:rPr/>
        <w:t>El</w:t>
      </w:r>
      <w:r>
        <w:rPr>
          <w:spacing w:val="-1"/>
        </w:rPr>
        <w:t> </w:t>
      </w:r>
      <w:r>
        <w:rPr/>
        <w:t>EP</w:t>
      </w:r>
      <w:r>
        <w:rPr>
          <w:spacing w:val="-3"/>
        </w:rPr>
        <w:t> </w:t>
      </w:r>
      <w:r>
        <w:rPr/>
        <w:t>tiene</w:t>
      </w:r>
      <w:r>
        <w:rPr>
          <w:spacing w:val="-3"/>
        </w:rPr>
        <w:t> </w:t>
      </w:r>
      <w:r>
        <w:rPr/>
        <w:t>la</w:t>
      </w:r>
      <w:r>
        <w:rPr>
          <w:spacing w:val="-3"/>
        </w:rPr>
        <w:t> </w:t>
      </w:r>
      <w:r>
        <w:rPr/>
        <w:t>responsabilidad</w:t>
      </w:r>
      <w:r>
        <w:rPr>
          <w:spacing w:val="-4"/>
        </w:rPr>
        <w:t> </w:t>
      </w:r>
      <w:r>
        <w:rPr/>
        <w:t>de</w:t>
      </w:r>
      <w:r>
        <w:rPr>
          <w:spacing w:val="-4"/>
        </w:rPr>
        <w:t> </w:t>
      </w:r>
      <w:r>
        <w:rPr/>
        <w:t>garantizar</w:t>
      </w:r>
      <w:r>
        <w:rPr>
          <w:spacing w:val="-2"/>
        </w:rPr>
        <w:t> </w:t>
      </w:r>
      <w:r>
        <w:rPr/>
        <w:t>que</w:t>
      </w:r>
      <w:r>
        <w:rPr>
          <w:spacing w:val="-3"/>
        </w:rPr>
        <w:t> </w:t>
      </w:r>
      <w:r>
        <w:rPr/>
        <w:t>las</w:t>
      </w:r>
      <w:r>
        <w:rPr>
          <w:spacing w:val="-2"/>
        </w:rPr>
        <w:t> </w:t>
      </w:r>
      <w:r>
        <w:rPr/>
        <w:t>organizaciones</w:t>
      </w:r>
      <w:r>
        <w:rPr>
          <w:spacing w:val="-2"/>
        </w:rPr>
        <w:t> </w:t>
      </w:r>
      <w:r>
        <w:rPr/>
        <w:t>socias</w:t>
      </w:r>
      <w:r>
        <w:rPr>
          <w:spacing w:val="-2"/>
        </w:rPr>
        <w:t> </w:t>
      </w:r>
      <w:r>
        <w:rPr/>
        <w:t>también cumplen con lo anterior.</w:t>
      </w:r>
    </w:p>
    <w:p>
      <w:pPr>
        <w:tabs>
          <w:tab w:pos="1721" w:val="left" w:leader="none"/>
          <w:tab w:pos="2579" w:val="left" w:leader="none"/>
          <w:tab w:pos="3725" w:val="left" w:leader="none"/>
          <w:tab w:pos="4893" w:val="left" w:leader="none"/>
          <w:tab w:pos="6606" w:val="left" w:leader="none"/>
          <w:tab w:pos="7774" w:val="left" w:leader="none"/>
        </w:tabs>
        <w:spacing w:line="268" w:lineRule="auto" w:before="128"/>
        <w:ind w:left="963" w:right="862" w:hanging="10"/>
        <w:jc w:val="both"/>
        <w:rPr>
          <w:sz w:val="20"/>
        </w:rPr>
      </w:pPr>
      <w:r>
        <w:rPr>
          <w:spacing w:val="-6"/>
          <w:sz w:val="20"/>
        </w:rPr>
        <w:t>El</w:t>
      </w:r>
      <w:r>
        <w:rPr>
          <w:sz w:val="20"/>
        </w:rPr>
        <w:tab/>
      </w:r>
      <w:r>
        <w:rPr>
          <w:spacing w:val="-6"/>
          <w:sz w:val="20"/>
        </w:rPr>
        <w:t>EP</w:t>
      </w:r>
      <w:r>
        <w:rPr>
          <w:sz w:val="20"/>
        </w:rPr>
        <w:tab/>
      </w:r>
      <w:r>
        <w:rPr>
          <w:spacing w:val="-4"/>
          <w:sz w:val="20"/>
        </w:rPr>
        <w:t>puede</w:t>
      </w:r>
      <w:r>
        <w:rPr>
          <w:sz w:val="20"/>
        </w:rPr>
        <w:tab/>
      </w:r>
      <w:r>
        <w:rPr>
          <w:spacing w:val="-2"/>
          <w:sz w:val="20"/>
        </w:rPr>
        <w:t>utilizar</w:t>
      </w:r>
      <w:r>
        <w:rPr>
          <w:sz w:val="20"/>
        </w:rPr>
        <w:tab/>
      </w:r>
      <w:r>
        <w:rPr>
          <w:i/>
          <w:spacing w:val="-2"/>
          <w:sz w:val="20"/>
        </w:rPr>
        <w:t>Humentum’s</w:t>
      </w:r>
      <w:r>
        <w:rPr>
          <w:i/>
          <w:sz w:val="20"/>
        </w:rPr>
        <w:tab/>
      </w:r>
      <w:r>
        <w:rPr>
          <w:i/>
          <w:spacing w:val="-2"/>
          <w:sz w:val="20"/>
        </w:rPr>
        <w:t>Health</w:t>
      </w:r>
      <w:r>
        <w:rPr>
          <w:i/>
          <w:sz w:val="20"/>
        </w:rPr>
        <w:tab/>
      </w:r>
      <w:r>
        <w:rPr>
          <w:i/>
          <w:spacing w:val="-2"/>
          <w:sz w:val="20"/>
        </w:rPr>
        <w:t>Check</w:t>
      </w:r>
      <w:r>
        <w:rPr>
          <w:i/>
          <w:spacing w:val="-2"/>
          <w:sz w:val="20"/>
        </w:rPr>
        <w:t> </w:t>
      </w:r>
      <w:r>
        <w:rPr>
          <w:i/>
          <w:sz w:val="20"/>
        </w:rPr>
        <w:t>(</w:t>
      </w:r>
      <w:hyperlink r:id="rId46">
        <w:r>
          <w:rPr>
            <w:i/>
            <w:color w:val="0462C1"/>
            <w:sz w:val="20"/>
            <w:u w:val="single" w:color="0462C1"/>
          </w:rPr>
          <w:t>www.humentum.urg.uk/Guide/HealthCheck</w:t>
        </w:r>
      </w:hyperlink>
      <w:r>
        <w:rPr>
          <w:i/>
          <w:sz w:val="20"/>
        </w:rPr>
        <w:t>) </w:t>
      </w:r>
      <w:r>
        <w:rPr>
          <w:sz w:val="20"/>
        </w:rPr>
        <w:t>para evaluar la capacidad del socio local para lidiar con la gestión financiera de la asociación y así mismo el EP puede aplicarlo en su propia organización.</w:t>
      </w:r>
    </w:p>
    <w:p>
      <w:pPr>
        <w:pStyle w:val="BodyText"/>
        <w:rPr>
          <w:sz w:val="22"/>
        </w:rPr>
      </w:pPr>
    </w:p>
    <w:p>
      <w:pPr>
        <w:pStyle w:val="BodyText"/>
        <w:spacing w:before="10"/>
        <w:rPr>
          <w:sz w:val="22"/>
        </w:rPr>
      </w:pPr>
    </w:p>
    <w:p>
      <w:pPr>
        <w:spacing w:before="1"/>
        <w:ind w:left="968" w:right="0" w:firstLine="0"/>
        <w:jc w:val="both"/>
        <w:rPr>
          <w:sz w:val="22"/>
        </w:rPr>
      </w:pPr>
      <w:r>
        <w:rPr>
          <w:color w:val="FF0000"/>
          <w:sz w:val="22"/>
        </w:rPr>
        <w:t>DISTRIBUCIÓN</w:t>
      </w:r>
      <w:r>
        <w:rPr>
          <w:color w:val="FF0000"/>
          <w:spacing w:val="-9"/>
          <w:sz w:val="22"/>
        </w:rPr>
        <w:t> </w:t>
      </w:r>
      <w:r>
        <w:rPr>
          <w:color w:val="FF0000"/>
          <w:sz w:val="22"/>
        </w:rPr>
        <w:t>DE</w:t>
      </w:r>
      <w:r>
        <w:rPr>
          <w:color w:val="FF0000"/>
          <w:spacing w:val="-6"/>
          <w:sz w:val="22"/>
        </w:rPr>
        <w:t> </w:t>
      </w:r>
      <w:r>
        <w:rPr>
          <w:color w:val="FF0000"/>
          <w:spacing w:val="-2"/>
          <w:sz w:val="22"/>
        </w:rPr>
        <w:t>GASTOS</w:t>
      </w:r>
    </w:p>
    <w:p>
      <w:pPr>
        <w:pStyle w:val="BodyText"/>
        <w:spacing w:line="271" w:lineRule="auto" w:before="137"/>
        <w:ind w:left="963" w:right="905" w:hanging="10"/>
      </w:pPr>
      <w:r>
        <w:rPr>
          <w:color w:val="212121"/>
        </w:rPr>
        <w:t>Para</w:t>
      </w:r>
      <w:r>
        <w:rPr>
          <w:color w:val="212121"/>
          <w:spacing w:val="-3"/>
        </w:rPr>
        <w:t> </w:t>
      </w:r>
      <w:r>
        <w:rPr>
          <w:color w:val="212121"/>
        </w:rPr>
        <w:t>el</w:t>
      </w:r>
      <w:r>
        <w:rPr>
          <w:color w:val="212121"/>
          <w:spacing w:val="-4"/>
        </w:rPr>
        <w:t> </w:t>
      </w:r>
      <w:r>
        <w:rPr>
          <w:color w:val="212121"/>
        </w:rPr>
        <w:t>período</w:t>
      </w:r>
      <w:r>
        <w:rPr>
          <w:color w:val="212121"/>
          <w:spacing w:val="-5"/>
        </w:rPr>
        <w:t> </w:t>
      </w:r>
      <w:r>
        <w:rPr>
          <w:color w:val="212121"/>
        </w:rPr>
        <w:t>de</w:t>
      </w:r>
      <w:r>
        <w:rPr>
          <w:color w:val="212121"/>
          <w:spacing w:val="-4"/>
        </w:rPr>
        <w:t> </w:t>
      </w:r>
      <w:r>
        <w:rPr>
          <w:color w:val="212121"/>
        </w:rPr>
        <w:t>subvención</w:t>
      </w:r>
      <w:r>
        <w:rPr>
          <w:color w:val="212121"/>
          <w:spacing w:val="-4"/>
        </w:rPr>
        <w:t> </w:t>
      </w:r>
      <w:r>
        <w:rPr>
          <w:color w:val="212121"/>
        </w:rPr>
        <w:t>2021-25,</w:t>
      </w:r>
      <w:r>
        <w:rPr>
          <w:color w:val="212121"/>
          <w:spacing w:val="-3"/>
        </w:rPr>
        <w:t> </w:t>
      </w:r>
      <w:r>
        <w:rPr>
          <w:color w:val="212121"/>
        </w:rPr>
        <w:t>las</w:t>
      </w:r>
      <w:r>
        <w:rPr>
          <w:color w:val="212121"/>
          <w:spacing w:val="-1"/>
        </w:rPr>
        <w:t> </w:t>
      </w:r>
      <w:r>
        <w:rPr>
          <w:color w:val="212121"/>
        </w:rPr>
        <w:t>actividades</w:t>
      </w:r>
      <w:r>
        <w:rPr>
          <w:color w:val="212121"/>
          <w:spacing w:val="-4"/>
        </w:rPr>
        <w:t> </w:t>
      </w:r>
      <w:r>
        <w:rPr>
          <w:color w:val="212121"/>
        </w:rPr>
        <w:t>de</w:t>
      </w:r>
      <w:r>
        <w:rPr>
          <w:color w:val="212121"/>
          <w:spacing w:val="-5"/>
        </w:rPr>
        <w:t> </w:t>
      </w:r>
      <w:r>
        <w:rPr>
          <w:color w:val="212121"/>
        </w:rPr>
        <w:t>las</w:t>
      </w:r>
      <w:r>
        <w:rPr>
          <w:color w:val="212121"/>
          <w:spacing w:val="-4"/>
        </w:rPr>
        <w:t> </w:t>
      </w:r>
      <w:r>
        <w:rPr>
          <w:color w:val="212121"/>
        </w:rPr>
        <w:t>asociaciones</w:t>
      </w:r>
      <w:r>
        <w:rPr>
          <w:color w:val="212121"/>
          <w:spacing w:val="-4"/>
        </w:rPr>
        <w:t> </w:t>
      </w:r>
      <w:r>
        <w:rPr>
          <w:color w:val="212121"/>
        </w:rPr>
        <w:t>y,</w:t>
      </w:r>
      <w:r>
        <w:rPr>
          <w:color w:val="212121"/>
          <w:spacing w:val="-4"/>
        </w:rPr>
        <w:t> </w:t>
      </w:r>
      <w:r>
        <w:rPr>
          <w:color w:val="212121"/>
        </w:rPr>
        <w:t>por lo tanto, los respectivos presupuestos se dividen en cinco objetivos estratégicos:</w:t>
      </w:r>
    </w:p>
    <w:p>
      <w:pPr>
        <w:pStyle w:val="BodyText"/>
        <w:rPr>
          <w:sz w:val="22"/>
        </w:rPr>
      </w:pPr>
    </w:p>
    <w:p>
      <w:pPr>
        <w:pStyle w:val="BodyText"/>
        <w:spacing w:before="11"/>
        <w:rPr>
          <w:sz w:val="21"/>
        </w:rPr>
      </w:pPr>
    </w:p>
    <w:p>
      <w:pPr>
        <w:pStyle w:val="ListParagraph"/>
        <w:numPr>
          <w:ilvl w:val="3"/>
          <w:numId w:val="4"/>
        </w:numPr>
        <w:tabs>
          <w:tab w:pos="1556" w:val="left" w:leader="none"/>
          <w:tab w:pos="1557" w:val="left" w:leader="none"/>
        </w:tabs>
        <w:spacing w:line="240" w:lineRule="auto" w:before="0" w:after="0"/>
        <w:ind w:left="1556" w:right="0" w:hanging="380"/>
        <w:jc w:val="left"/>
        <w:rPr>
          <w:b/>
          <w:sz w:val="20"/>
        </w:rPr>
      </w:pPr>
      <w:r>
        <w:rPr>
          <w:b/>
          <w:sz w:val="20"/>
        </w:rPr>
        <w:t>Los</w:t>
      </w:r>
      <w:r>
        <w:rPr>
          <w:b/>
          <w:spacing w:val="-9"/>
          <w:sz w:val="20"/>
        </w:rPr>
        <w:t> </w:t>
      </w:r>
      <w:r>
        <w:rPr>
          <w:b/>
          <w:sz w:val="20"/>
        </w:rPr>
        <w:t>partidos</w:t>
      </w:r>
      <w:r>
        <w:rPr>
          <w:b/>
          <w:spacing w:val="-9"/>
          <w:sz w:val="20"/>
        </w:rPr>
        <w:t> </w:t>
      </w:r>
      <w:r>
        <w:rPr>
          <w:b/>
          <w:sz w:val="20"/>
        </w:rPr>
        <w:t>políticos</w:t>
      </w:r>
      <w:r>
        <w:rPr>
          <w:b/>
          <w:spacing w:val="-9"/>
          <w:sz w:val="20"/>
        </w:rPr>
        <w:t> </w:t>
      </w:r>
      <w:r>
        <w:rPr>
          <w:b/>
          <w:sz w:val="20"/>
        </w:rPr>
        <w:t>formulan</w:t>
      </w:r>
      <w:r>
        <w:rPr>
          <w:b/>
          <w:spacing w:val="-9"/>
          <w:sz w:val="20"/>
        </w:rPr>
        <w:t> </w:t>
      </w:r>
      <w:r>
        <w:rPr>
          <w:b/>
          <w:sz w:val="20"/>
        </w:rPr>
        <w:t>y</w:t>
      </w:r>
      <w:r>
        <w:rPr>
          <w:b/>
          <w:spacing w:val="-9"/>
          <w:sz w:val="20"/>
        </w:rPr>
        <w:t> </w:t>
      </w:r>
      <w:r>
        <w:rPr>
          <w:b/>
          <w:sz w:val="20"/>
        </w:rPr>
        <w:t>comunican</w:t>
      </w:r>
      <w:r>
        <w:rPr>
          <w:b/>
          <w:spacing w:val="-6"/>
          <w:sz w:val="20"/>
        </w:rPr>
        <w:t> </w:t>
      </w:r>
      <w:r>
        <w:rPr>
          <w:b/>
          <w:sz w:val="20"/>
        </w:rPr>
        <w:t>soluciones</w:t>
      </w:r>
      <w:r>
        <w:rPr>
          <w:b/>
          <w:spacing w:val="-10"/>
          <w:sz w:val="20"/>
        </w:rPr>
        <w:t> </w:t>
      </w:r>
      <w:r>
        <w:rPr>
          <w:b/>
          <w:spacing w:val="-2"/>
          <w:sz w:val="20"/>
        </w:rPr>
        <w:t>políticas</w:t>
      </w:r>
    </w:p>
    <w:p>
      <w:pPr>
        <w:pStyle w:val="ListParagraph"/>
        <w:numPr>
          <w:ilvl w:val="3"/>
          <w:numId w:val="4"/>
        </w:numPr>
        <w:tabs>
          <w:tab w:pos="1556" w:val="left" w:leader="none"/>
          <w:tab w:pos="1557" w:val="left" w:leader="none"/>
        </w:tabs>
        <w:spacing w:line="240" w:lineRule="auto" w:before="27" w:after="0"/>
        <w:ind w:left="1556" w:right="0" w:hanging="380"/>
        <w:jc w:val="left"/>
        <w:rPr>
          <w:b/>
          <w:sz w:val="20"/>
        </w:rPr>
      </w:pPr>
      <w:r>
        <w:rPr>
          <w:b/>
          <w:sz w:val="20"/>
        </w:rPr>
        <w:t>Los</w:t>
      </w:r>
      <w:r>
        <w:rPr>
          <w:b/>
          <w:spacing w:val="-9"/>
          <w:sz w:val="20"/>
        </w:rPr>
        <w:t> </w:t>
      </w:r>
      <w:r>
        <w:rPr>
          <w:b/>
          <w:sz w:val="20"/>
        </w:rPr>
        <w:t>partidos</w:t>
      </w:r>
      <w:r>
        <w:rPr>
          <w:b/>
          <w:spacing w:val="-8"/>
          <w:sz w:val="20"/>
        </w:rPr>
        <w:t> </w:t>
      </w:r>
      <w:r>
        <w:rPr>
          <w:b/>
          <w:sz w:val="20"/>
        </w:rPr>
        <w:t>políticos</w:t>
      </w:r>
      <w:r>
        <w:rPr>
          <w:b/>
          <w:spacing w:val="-8"/>
          <w:sz w:val="20"/>
        </w:rPr>
        <w:t> </w:t>
      </w:r>
      <w:r>
        <w:rPr>
          <w:b/>
          <w:sz w:val="20"/>
        </w:rPr>
        <w:t>son</w:t>
      </w:r>
      <w:r>
        <w:rPr>
          <w:b/>
          <w:spacing w:val="-7"/>
          <w:sz w:val="20"/>
        </w:rPr>
        <w:t> </w:t>
      </w:r>
      <w:r>
        <w:rPr>
          <w:b/>
          <w:sz w:val="20"/>
        </w:rPr>
        <w:t>organizaciones</w:t>
      </w:r>
      <w:r>
        <w:rPr>
          <w:b/>
          <w:spacing w:val="-8"/>
          <w:sz w:val="20"/>
        </w:rPr>
        <w:t> </w:t>
      </w:r>
      <w:r>
        <w:rPr>
          <w:b/>
          <w:sz w:val="20"/>
        </w:rPr>
        <w:t>inclusivas</w:t>
      </w:r>
      <w:r>
        <w:rPr>
          <w:b/>
          <w:spacing w:val="-9"/>
          <w:sz w:val="20"/>
        </w:rPr>
        <w:t> </w:t>
      </w:r>
      <w:r>
        <w:rPr>
          <w:b/>
          <w:sz w:val="20"/>
        </w:rPr>
        <w:t>y</w:t>
      </w:r>
      <w:r>
        <w:rPr>
          <w:b/>
          <w:spacing w:val="-2"/>
          <w:sz w:val="20"/>
        </w:rPr>
        <w:t> comprometidas</w:t>
      </w:r>
    </w:p>
    <w:p>
      <w:pPr>
        <w:pStyle w:val="ListParagraph"/>
        <w:numPr>
          <w:ilvl w:val="3"/>
          <w:numId w:val="4"/>
        </w:numPr>
        <w:tabs>
          <w:tab w:pos="1556" w:val="left" w:leader="none"/>
          <w:tab w:pos="1557" w:val="left" w:leader="none"/>
        </w:tabs>
        <w:spacing w:line="240" w:lineRule="auto" w:before="29" w:after="0"/>
        <w:ind w:left="1556" w:right="0" w:hanging="380"/>
        <w:jc w:val="left"/>
        <w:rPr>
          <w:b/>
          <w:sz w:val="20"/>
        </w:rPr>
      </w:pPr>
      <w:r>
        <w:rPr>
          <w:b/>
          <w:sz w:val="20"/>
        </w:rPr>
        <w:t>Los</w:t>
      </w:r>
      <w:r>
        <w:rPr>
          <w:b/>
          <w:spacing w:val="-9"/>
          <w:sz w:val="20"/>
        </w:rPr>
        <w:t> </w:t>
      </w:r>
      <w:r>
        <w:rPr>
          <w:b/>
          <w:sz w:val="20"/>
        </w:rPr>
        <w:t>partidos</w:t>
      </w:r>
      <w:r>
        <w:rPr>
          <w:b/>
          <w:spacing w:val="-8"/>
          <w:sz w:val="20"/>
        </w:rPr>
        <w:t> </w:t>
      </w:r>
      <w:r>
        <w:rPr>
          <w:b/>
          <w:sz w:val="20"/>
        </w:rPr>
        <w:t>políticos</w:t>
      </w:r>
      <w:r>
        <w:rPr>
          <w:b/>
          <w:spacing w:val="-8"/>
          <w:sz w:val="20"/>
        </w:rPr>
        <w:t> </w:t>
      </w:r>
      <w:r>
        <w:rPr>
          <w:b/>
          <w:sz w:val="20"/>
        </w:rPr>
        <w:t>son</w:t>
      </w:r>
      <w:r>
        <w:rPr>
          <w:b/>
          <w:spacing w:val="-8"/>
          <w:sz w:val="20"/>
        </w:rPr>
        <w:t> </w:t>
      </w:r>
      <w:r>
        <w:rPr>
          <w:b/>
          <w:sz w:val="20"/>
        </w:rPr>
        <w:t>organizaciones</w:t>
      </w:r>
      <w:r>
        <w:rPr>
          <w:b/>
          <w:spacing w:val="-8"/>
          <w:sz w:val="20"/>
        </w:rPr>
        <w:t> </w:t>
      </w:r>
      <w:r>
        <w:rPr>
          <w:b/>
          <w:spacing w:val="-2"/>
          <w:sz w:val="20"/>
        </w:rPr>
        <w:t>democráticas</w:t>
      </w:r>
    </w:p>
    <w:p>
      <w:pPr>
        <w:pStyle w:val="ListParagraph"/>
        <w:numPr>
          <w:ilvl w:val="3"/>
          <w:numId w:val="4"/>
        </w:numPr>
        <w:tabs>
          <w:tab w:pos="1556" w:val="left" w:leader="none"/>
          <w:tab w:pos="1557" w:val="left" w:leader="none"/>
        </w:tabs>
        <w:spacing w:line="271" w:lineRule="auto" w:before="27" w:after="0"/>
        <w:ind w:left="1186" w:right="871" w:hanging="10"/>
        <w:jc w:val="left"/>
        <w:rPr>
          <w:b/>
          <w:sz w:val="20"/>
        </w:rPr>
      </w:pPr>
      <w:r>
        <w:rPr>
          <w:b/>
          <w:sz w:val="20"/>
        </w:rPr>
        <w:t>Los partidos políticos participan en la cooperación y el diálogo entre </w:t>
      </w:r>
      <w:r>
        <w:rPr>
          <w:b/>
          <w:spacing w:val="-2"/>
          <w:sz w:val="20"/>
        </w:rPr>
        <w:t>partidos.</w:t>
      </w:r>
    </w:p>
    <w:p>
      <w:pPr>
        <w:pStyle w:val="ListParagraph"/>
        <w:numPr>
          <w:ilvl w:val="3"/>
          <w:numId w:val="4"/>
        </w:numPr>
        <w:tabs>
          <w:tab w:pos="1556" w:val="left" w:leader="none"/>
          <w:tab w:pos="1557" w:val="left" w:leader="none"/>
        </w:tabs>
        <w:spacing w:line="229" w:lineRule="exact" w:before="0" w:after="0"/>
        <w:ind w:left="1556" w:right="0" w:hanging="380"/>
        <w:jc w:val="left"/>
        <w:rPr>
          <w:b/>
          <w:sz w:val="20"/>
        </w:rPr>
      </w:pPr>
      <w:r>
        <w:rPr>
          <w:b/>
          <w:sz w:val="20"/>
        </w:rPr>
        <w:t>DIPD</w:t>
      </w:r>
      <w:r>
        <w:rPr>
          <w:b/>
          <w:spacing w:val="-4"/>
          <w:sz w:val="20"/>
        </w:rPr>
        <w:t> </w:t>
      </w:r>
      <w:r>
        <w:rPr>
          <w:b/>
          <w:sz w:val="20"/>
        </w:rPr>
        <w:t>aprende</w:t>
      </w:r>
      <w:r>
        <w:rPr>
          <w:b/>
          <w:spacing w:val="-5"/>
          <w:sz w:val="20"/>
        </w:rPr>
        <w:t> </w:t>
      </w:r>
      <w:r>
        <w:rPr>
          <w:b/>
          <w:sz w:val="20"/>
        </w:rPr>
        <w:t>de</w:t>
      </w:r>
      <w:r>
        <w:rPr>
          <w:b/>
          <w:spacing w:val="-6"/>
          <w:sz w:val="20"/>
        </w:rPr>
        <w:t> </w:t>
      </w:r>
      <w:r>
        <w:rPr>
          <w:b/>
          <w:sz w:val="20"/>
        </w:rPr>
        <w:t>los</w:t>
      </w:r>
      <w:r>
        <w:rPr>
          <w:b/>
          <w:spacing w:val="-3"/>
          <w:sz w:val="20"/>
        </w:rPr>
        <w:t> </w:t>
      </w:r>
      <w:r>
        <w:rPr>
          <w:b/>
          <w:sz w:val="20"/>
        </w:rPr>
        <w:t>resultados</w:t>
      </w:r>
      <w:r>
        <w:rPr>
          <w:b/>
          <w:spacing w:val="-7"/>
          <w:sz w:val="20"/>
        </w:rPr>
        <w:t> </w:t>
      </w:r>
      <w:r>
        <w:rPr>
          <w:b/>
          <w:sz w:val="20"/>
        </w:rPr>
        <w:t>y</w:t>
      </w:r>
      <w:r>
        <w:rPr>
          <w:b/>
          <w:spacing w:val="-7"/>
          <w:sz w:val="20"/>
        </w:rPr>
        <w:t> </w:t>
      </w:r>
      <w:r>
        <w:rPr>
          <w:b/>
          <w:sz w:val="20"/>
        </w:rPr>
        <w:t>los</w:t>
      </w:r>
      <w:r>
        <w:rPr>
          <w:b/>
          <w:spacing w:val="-3"/>
          <w:sz w:val="20"/>
        </w:rPr>
        <w:t> </w:t>
      </w:r>
      <w:r>
        <w:rPr>
          <w:b/>
          <w:spacing w:val="-2"/>
          <w:sz w:val="20"/>
        </w:rPr>
        <w:t>documenta</w:t>
      </w:r>
    </w:p>
    <w:p>
      <w:pPr>
        <w:pStyle w:val="BodyText"/>
        <w:rPr>
          <w:b/>
          <w:sz w:val="22"/>
        </w:rPr>
      </w:pPr>
    </w:p>
    <w:p>
      <w:pPr>
        <w:pStyle w:val="BodyText"/>
        <w:spacing w:line="268" w:lineRule="auto" w:before="163"/>
        <w:ind w:left="968" w:right="897"/>
      </w:pPr>
      <w:r>
        <w:rPr>
          <w:color w:val="212121"/>
        </w:rPr>
        <w:t>El</w:t>
      </w:r>
      <w:r>
        <w:rPr>
          <w:color w:val="212121"/>
          <w:spacing w:val="-3"/>
        </w:rPr>
        <w:t> </w:t>
      </w:r>
      <w:r>
        <w:rPr>
          <w:color w:val="212121"/>
        </w:rPr>
        <w:t>desglose</w:t>
      </w:r>
      <w:r>
        <w:rPr>
          <w:color w:val="212121"/>
          <w:spacing w:val="-4"/>
        </w:rPr>
        <w:t> </w:t>
      </w:r>
      <w:r>
        <w:rPr>
          <w:color w:val="212121"/>
        </w:rPr>
        <w:t>de</w:t>
      </w:r>
      <w:r>
        <w:rPr>
          <w:color w:val="212121"/>
          <w:spacing w:val="-4"/>
        </w:rPr>
        <w:t> </w:t>
      </w:r>
      <w:r>
        <w:rPr>
          <w:color w:val="212121"/>
        </w:rPr>
        <w:t>los</w:t>
      </w:r>
      <w:r>
        <w:rPr>
          <w:color w:val="212121"/>
          <w:spacing w:val="-3"/>
        </w:rPr>
        <w:t> </w:t>
      </w:r>
      <w:r>
        <w:rPr>
          <w:color w:val="212121"/>
        </w:rPr>
        <w:t>gastos</w:t>
      </w:r>
      <w:r>
        <w:rPr>
          <w:color w:val="212121"/>
          <w:spacing w:val="-1"/>
        </w:rPr>
        <w:t> </w:t>
      </w:r>
      <w:r>
        <w:rPr>
          <w:color w:val="212121"/>
        </w:rPr>
        <w:t>debe</w:t>
      </w:r>
      <w:r>
        <w:rPr>
          <w:color w:val="212121"/>
          <w:spacing w:val="-4"/>
        </w:rPr>
        <w:t> </w:t>
      </w:r>
      <w:r>
        <w:rPr>
          <w:color w:val="212121"/>
        </w:rPr>
        <w:t>seguir</w:t>
      </w:r>
      <w:r>
        <w:rPr>
          <w:color w:val="212121"/>
          <w:spacing w:val="-1"/>
        </w:rPr>
        <w:t> </w:t>
      </w:r>
      <w:r>
        <w:rPr>
          <w:color w:val="212121"/>
        </w:rPr>
        <w:t>el</w:t>
      </w:r>
      <w:r>
        <w:rPr>
          <w:color w:val="212121"/>
          <w:spacing w:val="-3"/>
        </w:rPr>
        <w:t> </w:t>
      </w:r>
      <w:r>
        <w:rPr>
          <w:color w:val="212121"/>
        </w:rPr>
        <w:t>mismo</w:t>
      </w:r>
      <w:r>
        <w:rPr>
          <w:color w:val="212121"/>
          <w:spacing w:val="-4"/>
        </w:rPr>
        <w:t> </w:t>
      </w:r>
      <w:r>
        <w:rPr>
          <w:color w:val="212121"/>
        </w:rPr>
        <w:t>modelo</w:t>
      </w:r>
      <w:r>
        <w:rPr>
          <w:color w:val="212121"/>
          <w:spacing w:val="-4"/>
        </w:rPr>
        <w:t> </w:t>
      </w:r>
      <w:r>
        <w:rPr>
          <w:color w:val="212121"/>
        </w:rPr>
        <w:t>que el</w:t>
      </w:r>
      <w:r>
        <w:rPr>
          <w:color w:val="212121"/>
          <w:spacing w:val="-5"/>
        </w:rPr>
        <w:t> </w:t>
      </w:r>
      <w:r>
        <w:rPr>
          <w:color w:val="212121"/>
        </w:rPr>
        <w:t>presupuesto,</w:t>
      </w:r>
      <w:r>
        <w:rPr>
          <w:color w:val="212121"/>
          <w:spacing w:val="-4"/>
        </w:rPr>
        <w:t> </w:t>
      </w:r>
      <w:r>
        <w:rPr>
          <w:color w:val="212121"/>
        </w:rPr>
        <w:t>lo</w:t>
      </w:r>
      <w:r>
        <w:rPr>
          <w:color w:val="212121"/>
          <w:spacing w:val="-4"/>
        </w:rPr>
        <w:t> </w:t>
      </w:r>
      <w:r>
        <w:rPr>
          <w:color w:val="212121"/>
        </w:rPr>
        <w:t>que significa que todos los gastos generados en las colaboraciones deben contabilizarse en las áreas de objetivos estratégicos a las que contribuye la asociación entre partidos. Muchos de los gastos pueden atribuirse directamente a áreas de acción específicas, ya que están directamente relacionados con esos esfuerzos. Sin embargo, muchos elementos de los gastos serán de naturaleza</w:t>
      </w:r>
      <w:r>
        <w:rPr>
          <w:color w:val="212121"/>
          <w:spacing w:val="40"/>
        </w:rPr>
        <w:t> </w:t>
      </w:r>
      <w:r>
        <w:rPr>
          <w:color w:val="212121"/>
        </w:rPr>
        <w:t>más general y, por lo tanto, no tendría sentido el incluirlos en un área de acción específica. A continuación, se explica cómo gestionar los gastos que no están relacionados con un área específica:</w:t>
      </w:r>
    </w:p>
    <w:p>
      <w:pPr>
        <w:pStyle w:val="BodyText"/>
        <w:spacing w:line="268" w:lineRule="auto" w:before="1"/>
        <w:ind w:left="968" w:right="812"/>
      </w:pPr>
      <w:r>
        <w:rPr/>
        <w:pict>
          <v:line style="position:absolute;mso-position-horizontal-relative:page;mso-position-vertical-relative:paragraph;z-index:15744512" from="111.949997pt,82.82988pt" to="249.499997pt,82.82988pt" stroked="true" strokeweight=".96pt" strokecolor="#000000">
            <v:stroke dashstyle="shortdot"/>
            <w10:wrap type="none"/>
          </v:line>
        </w:pict>
      </w:r>
      <w:r>
        <w:rPr>
          <w:color w:val="212121"/>
        </w:rPr>
        <w:t>Cuando una asociación trabaja dentro de dos o más áreas de objetivos estratégicos,</w:t>
      </w:r>
      <w:r>
        <w:rPr>
          <w:color w:val="212121"/>
          <w:spacing w:val="-5"/>
        </w:rPr>
        <w:t> </w:t>
      </w:r>
      <w:r>
        <w:rPr>
          <w:color w:val="212121"/>
        </w:rPr>
        <w:t>los</w:t>
      </w:r>
      <w:r>
        <w:rPr>
          <w:color w:val="212121"/>
          <w:spacing w:val="-4"/>
        </w:rPr>
        <w:t> </w:t>
      </w:r>
      <w:r>
        <w:rPr>
          <w:color w:val="212121"/>
        </w:rPr>
        <w:t>gastos</w:t>
      </w:r>
      <w:r>
        <w:rPr>
          <w:color w:val="212121"/>
          <w:spacing w:val="-4"/>
        </w:rPr>
        <w:t> </w:t>
      </w:r>
      <w:r>
        <w:rPr>
          <w:color w:val="212121"/>
        </w:rPr>
        <w:t>generales</w:t>
      </w:r>
      <w:r>
        <w:rPr>
          <w:color w:val="212121"/>
          <w:spacing w:val="-4"/>
        </w:rPr>
        <w:t> </w:t>
      </w:r>
      <w:r>
        <w:rPr>
          <w:color w:val="212121"/>
        </w:rPr>
        <w:t>que</w:t>
      </w:r>
      <w:r>
        <w:rPr>
          <w:color w:val="212121"/>
          <w:spacing w:val="-5"/>
        </w:rPr>
        <w:t> </w:t>
      </w:r>
      <w:r>
        <w:rPr>
          <w:color w:val="212121"/>
        </w:rPr>
        <w:t>no</w:t>
      </w:r>
      <w:r>
        <w:rPr>
          <w:color w:val="212121"/>
          <w:spacing w:val="-3"/>
        </w:rPr>
        <w:t> </w:t>
      </w:r>
      <w:r>
        <w:rPr>
          <w:color w:val="212121"/>
        </w:rPr>
        <w:t>pueden</w:t>
      </w:r>
      <w:r>
        <w:rPr>
          <w:color w:val="212121"/>
          <w:spacing w:val="-5"/>
        </w:rPr>
        <w:t> </w:t>
      </w:r>
      <w:r>
        <w:rPr>
          <w:color w:val="212121"/>
        </w:rPr>
        <w:t>atribuirse</w:t>
      </w:r>
      <w:r>
        <w:rPr>
          <w:color w:val="212121"/>
          <w:spacing w:val="-5"/>
        </w:rPr>
        <w:t> </w:t>
      </w:r>
      <w:r>
        <w:rPr>
          <w:color w:val="212121"/>
        </w:rPr>
        <w:t>específicamente</w:t>
      </w:r>
      <w:r>
        <w:rPr>
          <w:color w:val="212121"/>
          <w:spacing w:val="-3"/>
        </w:rPr>
        <w:t> </w:t>
      </w:r>
      <w:r>
        <w:rPr>
          <w:color w:val="212121"/>
        </w:rPr>
        <w:t>a</w:t>
      </w:r>
      <w:r>
        <w:rPr>
          <w:color w:val="212121"/>
          <w:spacing w:val="-5"/>
        </w:rPr>
        <w:t> </w:t>
      </w:r>
      <w:r>
        <w:rPr>
          <w:color w:val="212121"/>
        </w:rPr>
        <w:t>un área de actividad deben asignarse de acuerdo con una clave de distribución</w:t>
      </w:r>
    </w:p>
    <w:p>
      <w:pPr>
        <w:spacing w:after="0" w:line="268" w:lineRule="auto"/>
        <w:sectPr>
          <w:headerReference w:type="default" r:id="rId44"/>
          <w:footerReference w:type="default" r:id="rId45"/>
          <w:pgSz w:w="11910" w:h="16850"/>
          <w:pgMar w:header="718" w:footer="843" w:top="940" w:bottom="1040" w:left="1300" w:right="1400"/>
        </w:sectPr>
      </w:pPr>
    </w:p>
    <w:p>
      <w:pPr>
        <w:pStyle w:val="BodyText"/>
        <w:spacing w:line="268" w:lineRule="auto" w:before="182"/>
        <w:ind w:left="968" w:right="905"/>
      </w:pPr>
      <w:r>
        <w:rPr>
          <w:color w:val="212121"/>
        </w:rPr>
        <w:t>(</w:t>
      </w:r>
      <w:r>
        <w:rPr>
          <w:i/>
          <w:color w:val="212121"/>
        </w:rPr>
        <w:t>distribution</w:t>
      </w:r>
      <w:r>
        <w:rPr>
          <w:i/>
          <w:color w:val="212121"/>
          <w:spacing w:val="-4"/>
        </w:rPr>
        <w:t> </w:t>
      </w:r>
      <w:r>
        <w:rPr>
          <w:i/>
          <w:color w:val="212121"/>
        </w:rPr>
        <w:t>key)</w:t>
      </w:r>
      <w:r>
        <w:rPr>
          <w:color w:val="212121"/>
        </w:rPr>
        <w:t>,</w:t>
      </w:r>
      <w:r>
        <w:rPr>
          <w:color w:val="212121"/>
          <w:spacing w:val="-4"/>
        </w:rPr>
        <w:t> </w:t>
      </w:r>
      <w:r>
        <w:rPr>
          <w:color w:val="212121"/>
        </w:rPr>
        <w:t>que</w:t>
      </w:r>
      <w:r>
        <w:rPr>
          <w:color w:val="212121"/>
          <w:spacing w:val="-4"/>
        </w:rPr>
        <w:t> </w:t>
      </w:r>
      <w:r>
        <w:rPr>
          <w:color w:val="212121"/>
        </w:rPr>
        <w:t>se</w:t>
      </w:r>
      <w:r>
        <w:rPr>
          <w:color w:val="212121"/>
          <w:spacing w:val="-4"/>
        </w:rPr>
        <w:t> </w:t>
      </w:r>
      <w:r>
        <w:rPr>
          <w:color w:val="212121"/>
        </w:rPr>
        <w:t>basa</w:t>
      </w:r>
      <w:r>
        <w:rPr>
          <w:color w:val="212121"/>
          <w:spacing w:val="-4"/>
        </w:rPr>
        <w:t> </w:t>
      </w:r>
      <w:r>
        <w:rPr>
          <w:color w:val="212121"/>
        </w:rPr>
        <w:t>en</w:t>
      </w:r>
      <w:r>
        <w:rPr>
          <w:color w:val="212121"/>
          <w:spacing w:val="-2"/>
        </w:rPr>
        <w:t> </w:t>
      </w:r>
      <w:r>
        <w:rPr>
          <w:color w:val="212121"/>
        </w:rPr>
        <w:t>la</w:t>
      </w:r>
      <w:r>
        <w:rPr>
          <w:color w:val="212121"/>
          <w:spacing w:val="-2"/>
        </w:rPr>
        <w:t> </w:t>
      </w:r>
      <w:r>
        <w:rPr>
          <w:color w:val="212121"/>
        </w:rPr>
        <w:t>distribución</w:t>
      </w:r>
      <w:r>
        <w:rPr>
          <w:color w:val="212121"/>
          <w:spacing w:val="-5"/>
        </w:rPr>
        <w:t> </w:t>
      </w:r>
      <w:r>
        <w:rPr>
          <w:color w:val="212121"/>
        </w:rPr>
        <w:t>porcentual</w:t>
      </w:r>
      <w:r>
        <w:rPr>
          <w:color w:val="212121"/>
          <w:spacing w:val="-5"/>
        </w:rPr>
        <w:t> </w:t>
      </w:r>
      <w:r>
        <w:rPr>
          <w:color w:val="212121"/>
        </w:rPr>
        <w:t>de</w:t>
      </w:r>
      <w:r>
        <w:rPr>
          <w:color w:val="212121"/>
          <w:spacing w:val="-4"/>
        </w:rPr>
        <w:t> </w:t>
      </w:r>
      <w:r>
        <w:rPr>
          <w:color w:val="212121"/>
        </w:rPr>
        <w:t>actividades</w:t>
      </w:r>
      <w:r>
        <w:rPr>
          <w:color w:val="212121"/>
          <w:spacing w:val="-3"/>
        </w:rPr>
        <w:t> </w:t>
      </w:r>
      <w:r>
        <w:rPr>
          <w:color w:val="212121"/>
        </w:rPr>
        <w:t>en</w:t>
      </w:r>
      <w:r>
        <w:rPr>
          <w:color w:val="212121"/>
          <w:spacing w:val="-4"/>
        </w:rPr>
        <w:t> </w:t>
      </w:r>
      <w:r>
        <w:rPr>
          <w:color w:val="212121"/>
        </w:rPr>
        <w:t>cada objetivo estratégico.</w:t>
      </w:r>
    </w:p>
    <w:p>
      <w:pPr>
        <w:pStyle w:val="BodyText"/>
        <w:spacing w:line="268" w:lineRule="auto" w:before="3"/>
        <w:ind w:left="968" w:right="924"/>
      </w:pPr>
      <w:r>
        <w:rPr>
          <w:color w:val="212121"/>
        </w:rPr>
        <w:t>Las líneas de gastos como sueldos, alquileres, etc., gastos generales de viaje y manutención se gestionarán siguiendo el modelo anterior. Por ejemplo, si una asociación está trabajando en dos objetivos estratégicos donde el coste de las actividades</w:t>
      </w:r>
      <w:r>
        <w:rPr>
          <w:color w:val="212121"/>
          <w:spacing w:val="-2"/>
        </w:rPr>
        <w:t> </w:t>
      </w:r>
      <w:r>
        <w:rPr>
          <w:color w:val="212121"/>
        </w:rPr>
        <w:t>es</w:t>
      </w:r>
      <w:r>
        <w:rPr>
          <w:color w:val="212121"/>
          <w:spacing w:val="-1"/>
        </w:rPr>
        <w:t> </w:t>
      </w:r>
      <w:r>
        <w:rPr>
          <w:color w:val="212121"/>
        </w:rPr>
        <w:t>de</w:t>
      </w:r>
      <w:r>
        <w:rPr>
          <w:color w:val="212121"/>
          <w:spacing w:val="-5"/>
        </w:rPr>
        <w:t> </w:t>
      </w:r>
      <w:r>
        <w:rPr>
          <w:color w:val="212121"/>
        </w:rPr>
        <w:t>un</w:t>
      </w:r>
      <w:r>
        <w:rPr>
          <w:color w:val="212121"/>
          <w:spacing w:val="-4"/>
        </w:rPr>
        <w:t> </w:t>
      </w:r>
      <w:r>
        <w:rPr>
          <w:color w:val="212121"/>
        </w:rPr>
        <w:t>60%</w:t>
      </w:r>
      <w:r>
        <w:rPr>
          <w:color w:val="212121"/>
          <w:spacing w:val="-4"/>
        </w:rPr>
        <w:t> </w:t>
      </w:r>
      <w:r>
        <w:rPr>
          <w:color w:val="212121"/>
        </w:rPr>
        <w:t>para</w:t>
      </w:r>
      <w:r>
        <w:rPr>
          <w:color w:val="212121"/>
          <w:spacing w:val="-2"/>
        </w:rPr>
        <w:t> </w:t>
      </w:r>
      <w:r>
        <w:rPr>
          <w:color w:val="212121"/>
        </w:rPr>
        <w:t>un</w:t>
      </w:r>
      <w:r>
        <w:rPr>
          <w:color w:val="212121"/>
          <w:spacing w:val="-3"/>
        </w:rPr>
        <w:t> </w:t>
      </w:r>
      <w:r>
        <w:rPr>
          <w:color w:val="212121"/>
        </w:rPr>
        <w:t>objetivo</w:t>
      </w:r>
      <w:r>
        <w:rPr>
          <w:color w:val="212121"/>
          <w:spacing w:val="-4"/>
        </w:rPr>
        <w:t> </w:t>
      </w:r>
      <w:r>
        <w:rPr>
          <w:color w:val="212121"/>
        </w:rPr>
        <w:t>estratégico</w:t>
      </w:r>
      <w:r>
        <w:rPr>
          <w:color w:val="212121"/>
          <w:spacing w:val="-2"/>
        </w:rPr>
        <w:t> </w:t>
      </w:r>
      <w:r>
        <w:rPr>
          <w:color w:val="212121"/>
        </w:rPr>
        <w:t>y</w:t>
      </w:r>
      <w:r>
        <w:rPr>
          <w:color w:val="212121"/>
          <w:spacing w:val="-3"/>
        </w:rPr>
        <w:t> </w:t>
      </w:r>
      <w:r>
        <w:rPr>
          <w:color w:val="212121"/>
        </w:rPr>
        <w:t>un</w:t>
      </w:r>
      <w:r>
        <w:rPr>
          <w:color w:val="212121"/>
          <w:spacing w:val="-5"/>
        </w:rPr>
        <w:t> </w:t>
      </w:r>
      <w:r>
        <w:rPr>
          <w:color w:val="212121"/>
        </w:rPr>
        <w:t>40%</w:t>
      </w:r>
      <w:r>
        <w:rPr>
          <w:color w:val="212121"/>
          <w:spacing w:val="-1"/>
        </w:rPr>
        <w:t> </w:t>
      </w:r>
      <w:r>
        <w:rPr>
          <w:color w:val="212121"/>
        </w:rPr>
        <w:t>para</w:t>
      </w:r>
      <w:r>
        <w:rPr>
          <w:color w:val="212121"/>
          <w:spacing w:val="-2"/>
        </w:rPr>
        <w:t> </w:t>
      </w:r>
      <w:r>
        <w:rPr>
          <w:color w:val="212121"/>
        </w:rPr>
        <w:t>otro</w:t>
      </w:r>
      <w:r>
        <w:rPr>
          <w:color w:val="212121"/>
          <w:spacing w:val="-2"/>
        </w:rPr>
        <w:t> </w:t>
      </w:r>
      <w:r>
        <w:rPr>
          <w:color w:val="212121"/>
        </w:rPr>
        <w:t>objetivo estratégico, los gastos generales se asignarán siguiendo la clave de 60/40 y se contabilizarán de una forma similar. El formato </w:t>
      </w:r>
      <w:r>
        <w:rPr>
          <w:i/>
          <w:color w:val="212121"/>
        </w:rPr>
        <w:t>Presupuesto para Socio de</w:t>
      </w:r>
      <w:r>
        <w:rPr>
          <w:i/>
          <w:color w:val="212121"/>
        </w:rPr>
        <w:t> Encargo – Socio </w:t>
      </w:r>
      <w:r>
        <w:rPr>
          <w:color w:val="212121"/>
        </w:rPr>
        <w:t>está disponible en el anexo 6 para uso voluntario.</w:t>
      </w:r>
    </w:p>
    <w:p>
      <w:pPr>
        <w:pStyle w:val="BodyText"/>
        <w:rPr>
          <w:sz w:val="22"/>
        </w:rPr>
      </w:pPr>
    </w:p>
    <w:p>
      <w:pPr>
        <w:pStyle w:val="BodyText"/>
        <w:spacing w:before="5"/>
        <w:rPr>
          <w:sz w:val="32"/>
        </w:rPr>
      </w:pPr>
    </w:p>
    <w:p>
      <w:pPr>
        <w:pStyle w:val="Heading3"/>
        <w:numPr>
          <w:ilvl w:val="2"/>
          <w:numId w:val="4"/>
        </w:numPr>
        <w:tabs>
          <w:tab w:pos="1395" w:val="left" w:leader="none"/>
          <w:tab w:pos="1396" w:val="left" w:leader="none"/>
        </w:tabs>
        <w:spacing w:line="240" w:lineRule="auto" w:before="0" w:after="0"/>
        <w:ind w:left="1395" w:right="0" w:hanging="1294"/>
        <w:jc w:val="left"/>
      </w:pPr>
      <w:bookmarkStart w:name="_TOC_250008" w:id="25"/>
      <w:r>
        <w:rPr>
          <w:color w:val="FF0000"/>
        </w:rPr>
        <w:t>LIQUIDACIÓN</w:t>
      </w:r>
      <w:r>
        <w:rPr>
          <w:color w:val="FF0000"/>
          <w:spacing w:val="-5"/>
        </w:rPr>
        <w:t> </w:t>
      </w:r>
      <w:r>
        <w:rPr>
          <w:color w:val="FF0000"/>
        </w:rPr>
        <w:t>Y</w:t>
      </w:r>
      <w:r>
        <w:rPr>
          <w:color w:val="FF0000"/>
          <w:spacing w:val="-7"/>
        </w:rPr>
        <w:t> </w:t>
      </w:r>
      <w:r>
        <w:rPr>
          <w:color w:val="FF0000"/>
        </w:rPr>
        <w:t>GESTIÓN</w:t>
      </w:r>
      <w:r>
        <w:rPr>
          <w:color w:val="FF0000"/>
          <w:spacing w:val="-4"/>
        </w:rPr>
        <w:t> </w:t>
      </w:r>
      <w:r>
        <w:rPr>
          <w:color w:val="FF0000"/>
        </w:rPr>
        <w:t>DE</w:t>
      </w:r>
      <w:r>
        <w:rPr>
          <w:color w:val="FF0000"/>
          <w:spacing w:val="-8"/>
        </w:rPr>
        <w:t> </w:t>
      </w:r>
      <w:bookmarkEnd w:id="25"/>
      <w:r>
        <w:rPr>
          <w:color w:val="FF0000"/>
          <w:spacing w:val="-2"/>
        </w:rPr>
        <w:t>DIVISAS</w:t>
      </w:r>
    </w:p>
    <w:p>
      <w:pPr>
        <w:pStyle w:val="BodyText"/>
        <w:rPr>
          <w:sz w:val="22"/>
        </w:rPr>
      </w:pPr>
    </w:p>
    <w:p>
      <w:pPr>
        <w:pStyle w:val="BodyText"/>
        <w:spacing w:before="5"/>
        <w:rPr>
          <w:sz w:val="25"/>
        </w:rPr>
      </w:pPr>
    </w:p>
    <w:p>
      <w:pPr>
        <w:pStyle w:val="BodyText"/>
        <w:spacing w:line="271" w:lineRule="auto" w:before="1"/>
        <w:ind w:left="963" w:right="862" w:hanging="10"/>
        <w:jc w:val="both"/>
      </w:pPr>
      <w:r>
        <w:rPr/>
        <w:t>Las</w:t>
      </w:r>
      <w:r>
        <w:rPr>
          <w:spacing w:val="-10"/>
        </w:rPr>
        <w:t> </w:t>
      </w:r>
      <w:r>
        <w:rPr/>
        <w:t>cuentas</w:t>
      </w:r>
      <w:r>
        <w:rPr>
          <w:spacing w:val="-10"/>
        </w:rPr>
        <w:t> </w:t>
      </w:r>
      <w:r>
        <w:rPr/>
        <w:t>de</w:t>
      </w:r>
      <w:r>
        <w:rPr>
          <w:spacing w:val="-12"/>
        </w:rPr>
        <w:t> </w:t>
      </w:r>
      <w:r>
        <w:rPr/>
        <w:t>los</w:t>
      </w:r>
      <w:r>
        <w:rPr>
          <w:spacing w:val="-10"/>
        </w:rPr>
        <w:t> </w:t>
      </w:r>
      <w:r>
        <w:rPr/>
        <w:t>socios</w:t>
      </w:r>
      <w:r>
        <w:rPr>
          <w:spacing w:val="-10"/>
        </w:rPr>
        <w:t> </w:t>
      </w:r>
      <w:r>
        <w:rPr/>
        <w:t>locales</w:t>
      </w:r>
      <w:r>
        <w:rPr>
          <w:spacing w:val="-10"/>
        </w:rPr>
        <w:t> </w:t>
      </w:r>
      <w:r>
        <w:rPr/>
        <w:t>se</w:t>
      </w:r>
      <w:r>
        <w:rPr>
          <w:spacing w:val="-12"/>
        </w:rPr>
        <w:t> </w:t>
      </w:r>
      <w:r>
        <w:rPr/>
        <w:t>presentarán</w:t>
      </w:r>
      <w:r>
        <w:rPr>
          <w:spacing w:val="-11"/>
        </w:rPr>
        <w:t> </w:t>
      </w:r>
      <w:r>
        <w:rPr/>
        <w:t>en</w:t>
      </w:r>
      <w:r>
        <w:rPr>
          <w:spacing w:val="-9"/>
        </w:rPr>
        <w:t> </w:t>
      </w:r>
      <w:r>
        <w:rPr/>
        <w:t>la</w:t>
      </w:r>
      <w:r>
        <w:rPr>
          <w:spacing w:val="-9"/>
        </w:rPr>
        <w:t> </w:t>
      </w:r>
      <w:r>
        <w:rPr/>
        <w:t>moneda</w:t>
      </w:r>
      <w:r>
        <w:rPr>
          <w:spacing w:val="-12"/>
        </w:rPr>
        <w:t> </w:t>
      </w:r>
      <w:r>
        <w:rPr/>
        <w:t>en</w:t>
      </w:r>
      <w:r>
        <w:rPr>
          <w:spacing w:val="-12"/>
        </w:rPr>
        <w:t> </w:t>
      </w:r>
      <w:r>
        <w:rPr/>
        <w:t>la</w:t>
      </w:r>
      <w:r>
        <w:rPr>
          <w:spacing w:val="-12"/>
        </w:rPr>
        <w:t> </w:t>
      </w:r>
      <w:r>
        <w:rPr/>
        <w:t>que</w:t>
      </w:r>
      <w:r>
        <w:rPr>
          <w:spacing w:val="-12"/>
        </w:rPr>
        <w:t> </w:t>
      </w:r>
      <w:r>
        <w:rPr/>
        <w:t>se</w:t>
      </w:r>
      <w:r>
        <w:rPr>
          <w:spacing w:val="-12"/>
        </w:rPr>
        <w:t> </w:t>
      </w:r>
      <w:r>
        <w:rPr/>
        <w:t>prepara el presupuesto adoptado (la moneda local). Dado que los fondos se transfieren en una</w:t>
      </w:r>
      <w:r>
        <w:rPr>
          <w:spacing w:val="-12"/>
        </w:rPr>
        <w:t> </w:t>
      </w:r>
      <w:r>
        <w:rPr/>
        <w:t>moneda</w:t>
      </w:r>
      <w:r>
        <w:rPr>
          <w:spacing w:val="-12"/>
        </w:rPr>
        <w:t> </w:t>
      </w:r>
      <w:r>
        <w:rPr/>
        <w:t>diferente</w:t>
      </w:r>
      <w:r>
        <w:rPr>
          <w:spacing w:val="-12"/>
        </w:rPr>
        <w:t> </w:t>
      </w:r>
      <w:r>
        <w:rPr/>
        <w:t>a</w:t>
      </w:r>
      <w:r>
        <w:rPr>
          <w:spacing w:val="-12"/>
        </w:rPr>
        <w:t> </w:t>
      </w:r>
      <w:r>
        <w:rPr/>
        <w:t>la</w:t>
      </w:r>
      <w:r>
        <w:rPr>
          <w:spacing w:val="-12"/>
        </w:rPr>
        <w:t> </w:t>
      </w:r>
      <w:r>
        <w:rPr/>
        <w:t>que</w:t>
      </w:r>
      <w:r>
        <w:rPr>
          <w:spacing w:val="-10"/>
        </w:rPr>
        <w:t> </w:t>
      </w:r>
      <w:r>
        <w:rPr/>
        <w:t>se</w:t>
      </w:r>
      <w:r>
        <w:rPr>
          <w:spacing w:val="-12"/>
        </w:rPr>
        <w:t> </w:t>
      </w:r>
      <w:r>
        <w:rPr/>
        <w:t>realiza</w:t>
      </w:r>
      <w:r>
        <w:rPr>
          <w:spacing w:val="-12"/>
        </w:rPr>
        <w:t> </w:t>
      </w:r>
      <w:r>
        <w:rPr/>
        <w:t>el</w:t>
      </w:r>
      <w:r>
        <w:rPr>
          <w:spacing w:val="-12"/>
        </w:rPr>
        <w:t> </w:t>
      </w:r>
      <w:r>
        <w:rPr/>
        <w:t>gasto,</w:t>
      </w:r>
      <w:r>
        <w:rPr>
          <w:spacing w:val="-12"/>
        </w:rPr>
        <w:t> </w:t>
      </w:r>
      <w:r>
        <w:rPr/>
        <w:t>la</w:t>
      </w:r>
      <w:r>
        <w:rPr>
          <w:spacing w:val="-12"/>
        </w:rPr>
        <w:t> </w:t>
      </w:r>
      <w:r>
        <w:rPr/>
        <w:t>auditoría</w:t>
      </w:r>
      <w:r>
        <w:rPr>
          <w:spacing w:val="-12"/>
        </w:rPr>
        <w:t> </w:t>
      </w:r>
      <w:r>
        <w:rPr/>
        <w:t>de</w:t>
      </w:r>
      <w:r>
        <w:rPr>
          <w:spacing w:val="-12"/>
        </w:rPr>
        <w:t> </w:t>
      </w:r>
      <w:r>
        <w:rPr/>
        <w:t>las</w:t>
      </w:r>
      <w:r>
        <w:rPr>
          <w:spacing w:val="-10"/>
        </w:rPr>
        <w:t> </w:t>
      </w:r>
      <w:r>
        <w:rPr/>
        <w:t>cuentas</w:t>
      </w:r>
      <w:r>
        <w:rPr>
          <w:spacing w:val="-10"/>
        </w:rPr>
        <w:t> </w:t>
      </w:r>
      <w:r>
        <w:rPr/>
        <w:t>locales deberá incluir cálculos y verificación del tipo de cambio utilizado y, por lo tanto, también una declaración de cualquier beneficio / pérdida de tipo de cambio. Un ejemplo de esto es si los fondos se transfieren en DKK, se reciben en dólares estadounidenses y se gastan en TSH (chelines de Tanzania).</w:t>
      </w:r>
    </w:p>
    <w:p>
      <w:pPr>
        <w:pStyle w:val="BodyText"/>
        <w:spacing w:line="271" w:lineRule="auto" w:before="117"/>
        <w:ind w:left="963" w:right="861" w:hanging="10"/>
        <w:jc w:val="both"/>
      </w:pPr>
      <w:r>
        <w:rPr/>
        <w:t>En el informe del socio local, tanto el gasto corriente como las cuentas anuales auditadas se elaborarán de modo que las líneas presupuestarias puedan leerse </w:t>
      </w:r>
      <w:r>
        <w:rPr>
          <w:spacing w:val="-2"/>
        </w:rPr>
        <w:t>directamente.</w:t>
      </w:r>
    </w:p>
    <w:p>
      <w:pPr>
        <w:pStyle w:val="BodyText"/>
        <w:spacing w:line="271" w:lineRule="auto" w:before="123"/>
        <w:ind w:left="963" w:right="857" w:hanging="10"/>
        <w:jc w:val="both"/>
      </w:pPr>
      <w:r>
        <w:rPr/>
        <w:t>En el momento de la presentación de informes / cuentas auditadas, el gasto debe registrarse en las cuentas totales del EP (</w:t>
      </w:r>
      <w:r>
        <w:rPr>
          <w:i/>
        </w:rPr>
        <w:t>siglas en inglés para Socio del Encargo)</w:t>
      </w:r>
      <w:r>
        <w:rPr>
          <w:i/>
        </w:rPr>
        <w:t> </w:t>
      </w:r>
      <w:r>
        <w:rPr/>
        <w:t>con un precio promedio ponderado (promedio de los tipos de cambio en la transferencia de fondos).</w:t>
      </w:r>
    </w:p>
    <w:p>
      <w:pPr>
        <w:pStyle w:val="BodyText"/>
        <w:spacing w:line="268" w:lineRule="auto" w:before="122"/>
        <w:ind w:left="963" w:right="860" w:hanging="10"/>
        <w:jc w:val="both"/>
      </w:pPr>
      <w:r>
        <w:rPr/>
        <w:t>Una vez recibidas las cuentas auditadas del socio, el gasto debe registrarse en las cuentas totales como el llamado "tipo de cambio promedio ponderado", que es el promedio de los tipos de cambio de las transferencias.</w:t>
      </w:r>
    </w:p>
    <w:p>
      <w:pPr>
        <w:pStyle w:val="BodyText"/>
        <w:spacing w:line="268" w:lineRule="auto" w:before="130"/>
        <w:ind w:left="963" w:right="865" w:hanging="10"/>
        <w:jc w:val="both"/>
      </w:pPr>
      <w:r>
        <w:rPr/>
        <w:t>Cualquier</w:t>
      </w:r>
      <w:r>
        <w:rPr>
          <w:spacing w:val="-4"/>
        </w:rPr>
        <w:t> </w:t>
      </w:r>
      <w:r>
        <w:rPr/>
        <w:t>pérdida</w:t>
      </w:r>
      <w:r>
        <w:rPr>
          <w:spacing w:val="-4"/>
        </w:rPr>
        <w:t> </w:t>
      </w:r>
      <w:r>
        <w:rPr/>
        <w:t>por</w:t>
      </w:r>
      <w:r>
        <w:rPr>
          <w:spacing w:val="-4"/>
        </w:rPr>
        <w:t> </w:t>
      </w:r>
      <w:r>
        <w:rPr/>
        <w:t>tipo</w:t>
      </w:r>
      <w:r>
        <w:rPr>
          <w:spacing w:val="-2"/>
        </w:rPr>
        <w:t> </w:t>
      </w:r>
      <w:r>
        <w:rPr/>
        <w:t>de</w:t>
      </w:r>
      <w:r>
        <w:rPr>
          <w:spacing w:val="-5"/>
        </w:rPr>
        <w:t> </w:t>
      </w:r>
      <w:r>
        <w:rPr/>
        <w:t>cambio</w:t>
      </w:r>
      <w:r>
        <w:rPr>
          <w:spacing w:val="-2"/>
        </w:rPr>
        <w:t> </w:t>
      </w:r>
      <w:r>
        <w:rPr/>
        <w:t>puede</w:t>
      </w:r>
      <w:r>
        <w:rPr>
          <w:spacing w:val="-5"/>
        </w:rPr>
        <w:t> </w:t>
      </w:r>
      <w:r>
        <w:rPr/>
        <w:t>cubrirse</w:t>
      </w:r>
      <w:r>
        <w:rPr>
          <w:spacing w:val="-4"/>
        </w:rPr>
        <w:t> </w:t>
      </w:r>
      <w:r>
        <w:rPr/>
        <w:t>con</w:t>
      </w:r>
      <w:r>
        <w:rPr>
          <w:spacing w:val="-5"/>
        </w:rPr>
        <w:t> </w:t>
      </w:r>
      <w:r>
        <w:rPr/>
        <w:t>la</w:t>
      </w:r>
      <w:r>
        <w:rPr>
          <w:spacing w:val="-4"/>
        </w:rPr>
        <w:t> </w:t>
      </w:r>
      <w:r>
        <w:rPr/>
        <w:t>línea</w:t>
      </w:r>
      <w:r>
        <w:rPr>
          <w:spacing w:val="-2"/>
        </w:rPr>
        <w:t> </w:t>
      </w:r>
      <w:r>
        <w:rPr/>
        <w:t>presupuestaria</w:t>
      </w:r>
      <w:r>
        <w:rPr>
          <w:spacing w:val="-2"/>
        </w:rPr>
        <w:t> </w:t>
      </w:r>
      <w:r>
        <w:rPr/>
        <w:t>10 (margen del presupuesto). El margen del presupuesto se puede utilizar para cubrir el tipo de gastos imprevistos (incluidos cambios extraordinarios de precios y cambios</w:t>
      </w:r>
      <w:r>
        <w:rPr>
          <w:spacing w:val="-14"/>
        </w:rPr>
        <w:t> </w:t>
      </w:r>
      <w:r>
        <w:rPr/>
        <w:t>en</w:t>
      </w:r>
      <w:r>
        <w:rPr>
          <w:spacing w:val="-14"/>
        </w:rPr>
        <w:t> </w:t>
      </w:r>
      <w:r>
        <w:rPr/>
        <w:t>los</w:t>
      </w:r>
      <w:r>
        <w:rPr>
          <w:spacing w:val="-13"/>
        </w:rPr>
        <w:t> </w:t>
      </w:r>
      <w:r>
        <w:rPr/>
        <w:t>tipos</w:t>
      </w:r>
      <w:r>
        <w:rPr>
          <w:spacing w:val="-12"/>
        </w:rPr>
        <w:t> </w:t>
      </w:r>
      <w:r>
        <w:rPr/>
        <w:t>de</w:t>
      </w:r>
      <w:r>
        <w:rPr>
          <w:spacing w:val="-14"/>
        </w:rPr>
        <w:t> </w:t>
      </w:r>
      <w:r>
        <w:rPr/>
        <w:t>cambio</w:t>
      </w:r>
      <w:r>
        <w:rPr>
          <w:spacing w:val="-14"/>
        </w:rPr>
        <w:t> </w:t>
      </w:r>
      <w:r>
        <w:rPr/>
        <w:t>de</w:t>
      </w:r>
      <w:r>
        <w:rPr>
          <w:spacing w:val="-14"/>
        </w:rPr>
        <w:t> </w:t>
      </w:r>
      <w:r>
        <w:rPr/>
        <w:t>moneda</w:t>
      </w:r>
      <w:r>
        <w:rPr>
          <w:spacing w:val="-14"/>
        </w:rPr>
        <w:t> </w:t>
      </w:r>
      <w:r>
        <w:rPr/>
        <w:t>que</w:t>
      </w:r>
      <w:r>
        <w:rPr>
          <w:spacing w:val="-14"/>
        </w:rPr>
        <w:t> </w:t>
      </w:r>
      <w:r>
        <w:rPr/>
        <w:t>provocan</w:t>
      </w:r>
      <w:r>
        <w:rPr>
          <w:spacing w:val="-14"/>
        </w:rPr>
        <w:t> </w:t>
      </w:r>
      <w:r>
        <w:rPr/>
        <w:t>aumentos</w:t>
      </w:r>
      <w:r>
        <w:rPr>
          <w:spacing w:val="-13"/>
        </w:rPr>
        <w:t> </w:t>
      </w:r>
      <w:r>
        <w:rPr/>
        <w:t>salariales,</w:t>
      </w:r>
      <w:r>
        <w:rPr>
          <w:spacing w:val="-14"/>
        </w:rPr>
        <w:t> </w:t>
      </w:r>
      <w:r>
        <w:rPr/>
        <w:t>etc.).</w:t>
      </w:r>
    </w:p>
    <w:p>
      <w:pPr>
        <w:pStyle w:val="Heading3"/>
        <w:numPr>
          <w:ilvl w:val="2"/>
          <w:numId w:val="4"/>
        </w:numPr>
        <w:tabs>
          <w:tab w:pos="722" w:val="left" w:leader="none"/>
        </w:tabs>
        <w:spacing w:line="240" w:lineRule="auto" w:before="132" w:after="0"/>
        <w:ind w:left="721" w:right="0" w:hanging="620"/>
        <w:jc w:val="left"/>
      </w:pPr>
      <w:r>
        <w:rPr>
          <w:color w:val="FF0000"/>
        </w:rPr>
        <w:t>REGISTRO</w:t>
      </w:r>
      <w:r>
        <w:rPr>
          <w:color w:val="FF0000"/>
          <w:spacing w:val="-4"/>
        </w:rPr>
        <w:t> </w:t>
      </w:r>
      <w:r>
        <w:rPr>
          <w:color w:val="FF0000"/>
        </w:rPr>
        <w:t>DE</w:t>
      </w:r>
      <w:r>
        <w:rPr>
          <w:color w:val="FF0000"/>
          <w:spacing w:val="-7"/>
        </w:rPr>
        <w:t> </w:t>
      </w:r>
      <w:r>
        <w:rPr>
          <w:color w:val="FF0000"/>
        </w:rPr>
        <w:t>INTERESES</w:t>
      </w:r>
      <w:r>
        <w:rPr>
          <w:color w:val="FF0000"/>
          <w:spacing w:val="-6"/>
        </w:rPr>
        <w:t> </w:t>
      </w:r>
      <w:r>
        <w:rPr>
          <w:color w:val="FF0000"/>
        </w:rPr>
        <w:t>ACUMULADOS</w:t>
      </w:r>
      <w:r>
        <w:rPr>
          <w:color w:val="FF0000"/>
          <w:spacing w:val="-5"/>
        </w:rPr>
        <w:t> </w:t>
      </w:r>
      <w:r>
        <w:rPr>
          <w:color w:val="FF0000"/>
        </w:rPr>
        <w:t>Y</w:t>
      </w:r>
      <w:r>
        <w:rPr>
          <w:color w:val="FF0000"/>
          <w:spacing w:val="-7"/>
        </w:rPr>
        <w:t> </w:t>
      </w:r>
      <w:r>
        <w:rPr>
          <w:color w:val="FF0000"/>
        </w:rPr>
        <w:t>GANANCIAS</w:t>
      </w:r>
      <w:r>
        <w:rPr>
          <w:color w:val="FF0000"/>
          <w:spacing w:val="-6"/>
        </w:rPr>
        <w:t> </w:t>
      </w:r>
      <w:r>
        <w:rPr>
          <w:color w:val="FF0000"/>
        </w:rPr>
        <w:t>DE</w:t>
      </w:r>
      <w:r>
        <w:rPr>
          <w:color w:val="FF0000"/>
          <w:spacing w:val="-7"/>
        </w:rPr>
        <w:t> </w:t>
      </w:r>
      <w:r>
        <w:rPr>
          <w:color w:val="FF0000"/>
        </w:rPr>
        <w:t>TIP</w:t>
      </w:r>
      <w:r>
        <w:rPr>
          <w:color w:val="FF0000"/>
          <w:spacing w:val="-4"/>
        </w:rPr>
        <w:t> </w:t>
      </w:r>
      <w:r>
        <w:rPr>
          <w:color w:val="FF0000"/>
        </w:rPr>
        <w:t>DE</w:t>
      </w:r>
      <w:r>
        <w:rPr>
          <w:color w:val="FF0000"/>
          <w:spacing w:val="-5"/>
        </w:rPr>
        <w:t> </w:t>
      </w:r>
      <w:r>
        <w:rPr>
          <w:color w:val="FF0000"/>
          <w:spacing w:val="-2"/>
        </w:rPr>
        <w:t>CAMBIO</w:t>
      </w:r>
    </w:p>
    <w:p>
      <w:pPr>
        <w:pStyle w:val="BodyText"/>
        <w:spacing w:line="268" w:lineRule="auto" w:before="159"/>
        <w:ind w:left="963" w:right="859" w:hanging="10"/>
        <w:jc w:val="both"/>
      </w:pPr>
      <w:r>
        <w:rPr/>
        <w:t>Los intereses acumulados de los procesos bancarios deben registrarse como ingresos y pueden utilizarse para actividades que respalden el objetivo de colaboración o también pueden devolverse a DIPD una vez la colaboración haya finalizado. Los intereses negativos también deben contabilizarse como gastos y pueden ser cubiertos por la subvención.</w:t>
      </w:r>
    </w:p>
    <w:p>
      <w:pPr>
        <w:pStyle w:val="BodyText"/>
        <w:spacing w:before="2"/>
        <w:rPr>
          <w:sz w:val="32"/>
        </w:rPr>
      </w:pPr>
    </w:p>
    <w:p>
      <w:pPr>
        <w:pStyle w:val="Heading3"/>
        <w:numPr>
          <w:ilvl w:val="2"/>
          <w:numId w:val="4"/>
        </w:numPr>
        <w:tabs>
          <w:tab w:pos="925" w:val="left" w:leader="none"/>
          <w:tab w:pos="926" w:val="left" w:leader="none"/>
        </w:tabs>
        <w:spacing w:line="240" w:lineRule="auto" w:before="0" w:after="0"/>
        <w:ind w:left="925" w:right="0" w:hanging="824"/>
        <w:jc w:val="left"/>
      </w:pPr>
      <w:bookmarkStart w:name="_TOC_250007" w:id="26"/>
      <w:r>
        <w:rPr>
          <w:color w:val="FF0000"/>
        </w:rPr>
        <w:t>GESTIÓN</w:t>
      </w:r>
      <w:r>
        <w:rPr>
          <w:color w:val="FF0000"/>
          <w:spacing w:val="-7"/>
        </w:rPr>
        <w:t> </w:t>
      </w:r>
      <w:r>
        <w:rPr>
          <w:color w:val="FF0000"/>
        </w:rPr>
        <w:t>DE</w:t>
      </w:r>
      <w:r>
        <w:rPr>
          <w:color w:val="FF0000"/>
          <w:spacing w:val="-7"/>
        </w:rPr>
        <w:t> </w:t>
      </w:r>
      <w:bookmarkEnd w:id="26"/>
      <w:r>
        <w:rPr>
          <w:color w:val="FF0000"/>
          <w:spacing w:val="-2"/>
        </w:rPr>
        <w:t>INVERSIONES</w:t>
      </w:r>
    </w:p>
    <w:p>
      <w:pPr>
        <w:pStyle w:val="BodyText"/>
        <w:spacing w:line="268" w:lineRule="auto" w:before="162"/>
        <w:ind w:left="963" w:right="867" w:hanging="10"/>
        <w:jc w:val="both"/>
      </w:pPr>
      <w:r>
        <w:rPr/>
        <w:t>DIPD recomienda que el EP no utilice fondos de la asociación de partidos para inversiones</w:t>
      </w:r>
      <w:r>
        <w:rPr>
          <w:spacing w:val="-10"/>
        </w:rPr>
        <w:t> </w:t>
      </w:r>
      <w:r>
        <w:rPr/>
        <w:t>(adquisición</w:t>
      </w:r>
      <w:r>
        <w:rPr>
          <w:spacing w:val="-12"/>
        </w:rPr>
        <w:t> </w:t>
      </w:r>
      <w:r>
        <w:rPr/>
        <w:t>de</w:t>
      </w:r>
      <w:r>
        <w:rPr>
          <w:spacing w:val="-9"/>
        </w:rPr>
        <w:t> </w:t>
      </w:r>
      <w:r>
        <w:rPr/>
        <w:t>bienes</w:t>
      </w:r>
      <w:r>
        <w:rPr>
          <w:spacing w:val="-10"/>
        </w:rPr>
        <w:t> </w:t>
      </w:r>
      <w:r>
        <w:rPr/>
        <w:t>por</w:t>
      </w:r>
      <w:r>
        <w:rPr>
          <w:spacing w:val="-11"/>
        </w:rPr>
        <w:t> </w:t>
      </w:r>
      <w:r>
        <w:rPr/>
        <w:t>un</w:t>
      </w:r>
      <w:r>
        <w:rPr>
          <w:spacing w:val="-10"/>
        </w:rPr>
        <w:t> </w:t>
      </w:r>
      <w:r>
        <w:rPr/>
        <w:t>valor</w:t>
      </w:r>
      <w:r>
        <w:rPr>
          <w:spacing w:val="-11"/>
        </w:rPr>
        <w:t> </w:t>
      </w:r>
      <w:r>
        <w:rPr/>
        <w:t>de</w:t>
      </w:r>
      <w:r>
        <w:rPr>
          <w:spacing w:val="-12"/>
        </w:rPr>
        <w:t> </w:t>
      </w:r>
      <w:r>
        <w:rPr/>
        <w:t>más</w:t>
      </w:r>
      <w:r>
        <w:rPr>
          <w:spacing w:val="-8"/>
        </w:rPr>
        <w:t> </w:t>
      </w:r>
      <w:r>
        <w:rPr/>
        <w:t>de</w:t>
      </w:r>
      <w:r>
        <w:rPr>
          <w:spacing w:val="-12"/>
        </w:rPr>
        <w:t> </w:t>
      </w:r>
      <w:r>
        <w:rPr/>
        <w:t>20.000</w:t>
      </w:r>
      <w:r>
        <w:rPr>
          <w:spacing w:val="-12"/>
        </w:rPr>
        <w:t> </w:t>
      </w:r>
      <w:r>
        <w:rPr/>
        <w:t>coronas</w:t>
      </w:r>
      <w:r>
        <w:rPr>
          <w:spacing w:val="-8"/>
        </w:rPr>
        <w:t> </w:t>
      </w:r>
      <w:r>
        <w:rPr/>
        <w:t>danesas, que no está directamente relacionado con la implementación del compromiso).</w:t>
      </w:r>
    </w:p>
    <w:p>
      <w:pPr>
        <w:pStyle w:val="BodyText"/>
        <w:spacing w:line="271" w:lineRule="auto" w:before="127"/>
        <w:ind w:left="963" w:right="860" w:hanging="10"/>
        <w:jc w:val="both"/>
      </w:pPr>
      <w:r>
        <w:rPr/>
        <w:pict>
          <v:line style="position:absolute;mso-position-horizontal-relative:page;mso-position-vertical-relative:paragraph;z-index:15745024" from="345.899994pt,81.569885pt" to="483.549994pt,81.569885pt" stroked="true" strokeweight=".96pt" strokecolor="#000000">
            <v:stroke dashstyle="shortdot"/>
            <w10:wrap type="none"/>
          </v:line>
        </w:pict>
      </w:r>
      <w:r>
        <w:rPr/>
        <w:t>No</w:t>
      </w:r>
      <w:r>
        <w:rPr>
          <w:spacing w:val="-6"/>
        </w:rPr>
        <w:t> </w:t>
      </w:r>
      <w:r>
        <w:rPr/>
        <w:t>se</w:t>
      </w:r>
      <w:r>
        <w:rPr>
          <w:spacing w:val="-7"/>
        </w:rPr>
        <w:t> </w:t>
      </w:r>
      <w:r>
        <w:rPr/>
        <w:t>hace</w:t>
      </w:r>
      <w:r>
        <w:rPr>
          <w:spacing w:val="-5"/>
        </w:rPr>
        <w:t> </w:t>
      </w:r>
      <w:r>
        <w:rPr/>
        <w:t>una</w:t>
      </w:r>
      <w:r>
        <w:rPr>
          <w:spacing w:val="-5"/>
        </w:rPr>
        <w:t> </w:t>
      </w:r>
      <w:r>
        <w:rPr/>
        <w:t>depreciación</w:t>
      </w:r>
      <w:r>
        <w:rPr>
          <w:spacing w:val="-5"/>
        </w:rPr>
        <w:t> </w:t>
      </w:r>
      <w:r>
        <w:rPr/>
        <w:t>en</w:t>
      </w:r>
      <w:r>
        <w:rPr>
          <w:spacing w:val="-5"/>
        </w:rPr>
        <w:t> </w:t>
      </w:r>
      <w:r>
        <w:rPr/>
        <w:t>inversiones</w:t>
      </w:r>
      <w:r>
        <w:rPr>
          <w:spacing w:val="-5"/>
        </w:rPr>
        <w:t> </w:t>
      </w:r>
      <w:r>
        <w:rPr/>
        <w:t>en</w:t>
      </w:r>
      <w:r>
        <w:rPr>
          <w:spacing w:val="-6"/>
        </w:rPr>
        <w:t> </w:t>
      </w:r>
      <w:r>
        <w:rPr/>
        <w:t>la</w:t>
      </w:r>
      <w:r>
        <w:rPr>
          <w:spacing w:val="-7"/>
        </w:rPr>
        <w:t> </w:t>
      </w:r>
      <w:r>
        <w:rPr/>
        <w:t>contabilidad</w:t>
      </w:r>
      <w:r>
        <w:rPr>
          <w:spacing w:val="-5"/>
        </w:rPr>
        <w:t> </w:t>
      </w:r>
      <w:r>
        <w:rPr/>
        <w:t>de</w:t>
      </w:r>
      <w:r>
        <w:rPr>
          <w:spacing w:val="-4"/>
        </w:rPr>
        <w:t> </w:t>
      </w:r>
      <w:r>
        <w:rPr/>
        <w:t>la</w:t>
      </w:r>
      <w:r>
        <w:rPr>
          <w:spacing w:val="-7"/>
        </w:rPr>
        <w:t> </w:t>
      </w:r>
      <w:r>
        <w:rPr/>
        <w:t>asociación</w:t>
      </w:r>
      <w:r>
        <w:rPr>
          <w:spacing w:val="-7"/>
        </w:rPr>
        <w:t> </w:t>
      </w:r>
      <w:r>
        <w:rPr/>
        <w:t>que se</w:t>
      </w:r>
      <w:r>
        <w:rPr>
          <w:spacing w:val="40"/>
        </w:rPr>
        <w:t> </w:t>
      </w:r>
      <w:r>
        <w:rPr/>
        <w:t>financia</w:t>
      </w:r>
      <w:r>
        <w:rPr>
          <w:spacing w:val="40"/>
        </w:rPr>
        <w:t> </w:t>
      </w:r>
      <w:r>
        <w:rPr/>
        <w:t>con</w:t>
      </w:r>
      <w:r>
        <w:rPr>
          <w:spacing w:val="40"/>
        </w:rPr>
        <w:t> </w:t>
      </w:r>
      <w:r>
        <w:rPr/>
        <w:t>recursos</w:t>
      </w:r>
      <w:r>
        <w:rPr>
          <w:spacing w:val="40"/>
        </w:rPr>
        <w:t> </w:t>
      </w:r>
      <w:r>
        <w:rPr/>
        <w:t>de</w:t>
      </w:r>
      <w:r>
        <w:rPr>
          <w:spacing w:val="40"/>
        </w:rPr>
        <w:t> </w:t>
      </w:r>
      <w:r>
        <w:rPr/>
        <w:t>cooperación</w:t>
      </w:r>
      <w:r>
        <w:rPr>
          <w:spacing w:val="40"/>
        </w:rPr>
        <w:t> </w:t>
      </w:r>
      <w:r>
        <w:rPr/>
        <w:t>daneses.</w:t>
      </w:r>
      <w:r>
        <w:rPr>
          <w:spacing w:val="40"/>
        </w:rPr>
        <w:t> </w:t>
      </w:r>
      <w:r>
        <w:rPr/>
        <w:t>Sin</w:t>
      </w:r>
      <w:r>
        <w:rPr>
          <w:spacing w:val="40"/>
        </w:rPr>
        <w:t> </w:t>
      </w:r>
      <w:r>
        <w:rPr/>
        <w:t>embargo,</w:t>
      </w:r>
      <w:r>
        <w:rPr>
          <w:spacing w:val="40"/>
        </w:rPr>
        <w:t> </w:t>
      </w:r>
      <w:r>
        <w:rPr/>
        <w:t>las</w:t>
      </w:r>
      <w:r>
        <w:rPr>
          <w:spacing w:val="40"/>
        </w:rPr>
        <w:t> </w:t>
      </w:r>
      <w:r>
        <w:rPr/>
        <w:t>cuentas</w:t>
      </w:r>
    </w:p>
    <w:p>
      <w:pPr>
        <w:spacing w:after="0" w:line="271" w:lineRule="auto"/>
        <w:jc w:val="both"/>
        <w:sectPr>
          <w:headerReference w:type="default" r:id="rId47"/>
          <w:footerReference w:type="default" r:id="rId48"/>
          <w:pgSz w:w="11910" w:h="16850"/>
          <w:pgMar w:header="718" w:footer="843" w:top="940" w:bottom="1040" w:left="1300" w:right="1400"/>
        </w:sectPr>
      </w:pPr>
    </w:p>
    <w:p>
      <w:pPr>
        <w:pStyle w:val="BodyText"/>
      </w:pPr>
    </w:p>
    <w:p>
      <w:pPr>
        <w:pStyle w:val="BodyText"/>
      </w:pPr>
    </w:p>
    <w:p>
      <w:pPr>
        <w:pStyle w:val="BodyText"/>
        <w:spacing w:before="2"/>
        <w:rPr>
          <w:sz w:val="21"/>
        </w:rPr>
      </w:pPr>
    </w:p>
    <w:p>
      <w:pPr>
        <w:pStyle w:val="BodyText"/>
        <w:spacing w:line="271" w:lineRule="auto" w:before="93"/>
        <w:ind w:left="963" w:right="864"/>
        <w:jc w:val="both"/>
      </w:pPr>
      <w:r>
        <w:rPr/>
        <w:t>auditadas del</w:t>
      </w:r>
      <w:r>
        <w:rPr>
          <w:spacing w:val="-1"/>
        </w:rPr>
        <w:t> </w:t>
      </w:r>
      <w:r>
        <w:rPr/>
        <w:t>socio deben contener una "lista de inventario", que</w:t>
      </w:r>
      <w:r>
        <w:rPr>
          <w:spacing w:val="-1"/>
        </w:rPr>
        <w:t> </w:t>
      </w:r>
      <w:r>
        <w:rPr/>
        <w:t>resume todas las compras de bienes e inversiones.</w:t>
      </w:r>
    </w:p>
    <w:p>
      <w:pPr>
        <w:pStyle w:val="BodyText"/>
        <w:spacing w:line="268" w:lineRule="auto" w:before="124"/>
        <w:ind w:left="963" w:right="859" w:hanging="10"/>
        <w:jc w:val="both"/>
      </w:pPr>
      <w:r>
        <w:rPr/>
        <w:t>En</w:t>
      </w:r>
      <w:r>
        <w:rPr>
          <w:spacing w:val="-14"/>
        </w:rPr>
        <w:t> </w:t>
      </w:r>
      <w:r>
        <w:rPr/>
        <w:t>el</w:t>
      </w:r>
      <w:r>
        <w:rPr>
          <w:spacing w:val="-14"/>
        </w:rPr>
        <w:t> </w:t>
      </w:r>
      <w:r>
        <w:rPr/>
        <w:t>caso</w:t>
      </w:r>
      <w:r>
        <w:rPr>
          <w:spacing w:val="-14"/>
        </w:rPr>
        <w:t> </w:t>
      </w:r>
      <w:r>
        <w:rPr/>
        <w:t>de</w:t>
      </w:r>
      <w:r>
        <w:rPr>
          <w:spacing w:val="-14"/>
        </w:rPr>
        <w:t> </w:t>
      </w:r>
      <w:r>
        <w:rPr/>
        <w:t>que</w:t>
      </w:r>
      <w:r>
        <w:rPr>
          <w:spacing w:val="-14"/>
        </w:rPr>
        <w:t> </w:t>
      </w:r>
      <w:r>
        <w:rPr/>
        <w:t>se</w:t>
      </w:r>
      <w:r>
        <w:rPr>
          <w:spacing w:val="-14"/>
        </w:rPr>
        <w:t> </w:t>
      </w:r>
      <w:r>
        <w:rPr/>
        <w:t>vaya</w:t>
      </w:r>
      <w:r>
        <w:rPr>
          <w:spacing w:val="-14"/>
        </w:rPr>
        <w:t> </w:t>
      </w:r>
      <w:r>
        <w:rPr/>
        <w:t>a</w:t>
      </w:r>
      <w:r>
        <w:rPr>
          <w:spacing w:val="-14"/>
        </w:rPr>
        <w:t> </w:t>
      </w:r>
      <w:r>
        <w:rPr/>
        <w:t>realizar</w:t>
      </w:r>
      <w:r>
        <w:rPr>
          <w:spacing w:val="-14"/>
        </w:rPr>
        <w:t> </w:t>
      </w:r>
      <w:r>
        <w:rPr/>
        <w:t>una</w:t>
      </w:r>
      <w:r>
        <w:rPr>
          <w:spacing w:val="-13"/>
        </w:rPr>
        <w:t> </w:t>
      </w:r>
      <w:r>
        <w:rPr/>
        <w:t>transferencia</w:t>
      </w:r>
      <w:r>
        <w:rPr>
          <w:spacing w:val="-12"/>
        </w:rPr>
        <w:t> </w:t>
      </w:r>
      <w:r>
        <w:rPr/>
        <w:t>relacionada</w:t>
      </w:r>
      <w:r>
        <w:rPr>
          <w:spacing w:val="-13"/>
        </w:rPr>
        <w:t> </w:t>
      </w:r>
      <w:r>
        <w:rPr/>
        <w:t>con</w:t>
      </w:r>
      <w:r>
        <w:rPr>
          <w:spacing w:val="-14"/>
        </w:rPr>
        <w:t> </w:t>
      </w:r>
      <w:r>
        <w:rPr/>
        <w:t>la</w:t>
      </w:r>
      <w:r>
        <w:rPr>
          <w:spacing w:val="-14"/>
        </w:rPr>
        <w:t> </w:t>
      </w:r>
      <w:r>
        <w:rPr/>
        <w:t>finalización de</w:t>
      </w:r>
      <w:r>
        <w:rPr>
          <w:spacing w:val="-12"/>
        </w:rPr>
        <w:t> </w:t>
      </w:r>
      <w:r>
        <w:rPr/>
        <w:t>la</w:t>
      </w:r>
      <w:r>
        <w:rPr>
          <w:spacing w:val="-11"/>
        </w:rPr>
        <w:t> </w:t>
      </w:r>
      <w:r>
        <w:rPr/>
        <w:t>colaboración</w:t>
      </w:r>
      <w:r>
        <w:rPr>
          <w:spacing w:val="-10"/>
        </w:rPr>
        <w:t> </w:t>
      </w:r>
      <w:r>
        <w:rPr/>
        <w:t>entre</w:t>
      </w:r>
      <w:r>
        <w:rPr>
          <w:spacing w:val="-11"/>
        </w:rPr>
        <w:t> </w:t>
      </w:r>
      <w:r>
        <w:rPr/>
        <w:t>partidos</w:t>
      </w:r>
      <w:r>
        <w:rPr>
          <w:spacing w:val="-9"/>
        </w:rPr>
        <w:t> </w:t>
      </w:r>
      <w:r>
        <w:rPr/>
        <w:t>(tanto</w:t>
      </w:r>
      <w:r>
        <w:rPr>
          <w:spacing w:val="-8"/>
        </w:rPr>
        <w:t> </w:t>
      </w:r>
      <w:r>
        <w:rPr/>
        <w:t>en</w:t>
      </w:r>
      <w:r>
        <w:rPr>
          <w:spacing w:val="-10"/>
        </w:rPr>
        <w:t> </w:t>
      </w:r>
      <w:r>
        <w:rPr/>
        <w:t>el</w:t>
      </w:r>
      <w:r>
        <w:rPr>
          <w:spacing w:val="-10"/>
        </w:rPr>
        <w:t> </w:t>
      </w:r>
      <w:r>
        <w:rPr/>
        <w:t>momento</w:t>
      </w:r>
      <w:r>
        <w:rPr>
          <w:spacing w:val="-9"/>
        </w:rPr>
        <w:t> </w:t>
      </w:r>
      <w:r>
        <w:rPr/>
        <w:t>de</w:t>
      </w:r>
      <w:r>
        <w:rPr>
          <w:spacing w:val="-12"/>
        </w:rPr>
        <w:t> </w:t>
      </w:r>
      <w:r>
        <w:rPr/>
        <w:t>la</w:t>
      </w:r>
      <w:r>
        <w:rPr>
          <w:spacing w:val="-12"/>
        </w:rPr>
        <w:t> </w:t>
      </w:r>
      <w:r>
        <w:rPr/>
        <w:t>finalización</w:t>
      </w:r>
      <w:r>
        <w:rPr>
          <w:spacing w:val="-8"/>
        </w:rPr>
        <w:t> </w:t>
      </w:r>
      <w:r>
        <w:rPr/>
        <w:t>como</w:t>
      </w:r>
      <w:r>
        <w:rPr>
          <w:spacing w:val="-9"/>
        </w:rPr>
        <w:t> </w:t>
      </w:r>
      <w:r>
        <w:rPr/>
        <w:t>antes de</w:t>
      </w:r>
      <w:r>
        <w:rPr>
          <w:spacing w:val="-3"/>
        </w:rPr>
        <w:t> </w:t>
      </w:r>
      <w:r>
        <w:rPr/>
        <w:t>tiempo), esto debe hacerse</w:t>
      </w:r>
      <w:r>
        <w:rPr>
          <w:spacing w:val="-2"/>
        </w:rPr>
        <w:t> </w:t>
      </w:r>
      <w:r>
        <w:rPr/>
        <w:t>utilizando el llamado "Documento de Transferencia" (Anexo 3).</w:t>
      </w:r>
    </w:p>
    <w:p>
      <w:pPr>
        <w:pStyle w:val="BodyText"/>
        <w:spacing w:line="271" w:lineRule="auto" w:before="131"/>
        <w:ind w:left="963" w:right="861" w:hanging="10"/>
        <w:jc w:val="both"/>
      </w:pPr>
      <w:r>
        <w:rPr/>
        <w:t>Este documento se completará para que el EP (</w:t>
      </w:r>
      <w:r>
        <w:rPr>
          <w:i/>
        </w:rPr>
        <w:t>siglas en inglés para Socio del</w:t>
      </w:r>
      <w:r>
        <w:rPr>
          <w:i/>
        </w:rPr>
        <w:t> Encargo) </w:t>
      </w:r>
      <w:r>
        <w:rPr/>
        <w:t>y el socio entre en un acuerdo que describa las condiciones de una transferencia formal de las inversiones que se harán mientras la asociación tenga vida (por ejemplo, ordenadores). El EP establece como condición que el socio no revenda la inversión para ganar dinero y el socio se compromete a mantener la inversión, etc. El EP puede añadir la condición de que el socio no venda las inversiones (bienes) para ganar dinero y el socio debe comprometerse a cuidar y mantener esos bienes etc. El EP puede de forma alternativa requerir que el socio venda</w:t>
      </w:r>
      <w:r>
        <w:rPr>
          <w:spacing w:val="-5"/>
        </w:rPr>
        <w:t> </w:t>
      </w:r>
      <w:r>
        <w:rPr/>
        <w:t>estas</w:t>
      </w:r>
      <w:r>
        <w:rPr>
          <w:spacing w:val="-6"/>
        </w:rPr>
        <w:t> </w:t>
      </w:r>
      <w:r>
        <w:rPr/>
        <w:t>inversiones</w:t>
      </w:r>
      <w:r>
        <w:rPr>
          <w:spacing w:val="-6"/>
        </w:rPr>
        <w:t> </w:t>
      </w:r>
      <w:r>
        <w:rPr/>
        <w:t>en</w:t>
      </w:r>
      <w:r>
        <w:rPr>
          <w:spacing w:val="-5"/>
        </w:rPr>
        <w:t> </w:t>
      </w:r>
      <w:r>
        <w:rPr/>
        <w:t>caso</w:t>
      </w:r>
      <w:r>
        <w:rPr>
          <w:spacing w:val="-6"/>
        </w:rPr>
        <w:t> </w:t>
      </w:r>
      <w:r>
        <w:rPr/>
        <w:t>de</w:t>
      </w:r>
      <w:r>
        <w:rPr>
          <w:spacing w:val="-5"/>
        </w:rPr>
        <w:t> </w:t>
      </w:r>
      <w:r>
        <w:rPr/>
        <w:t>reembolso</w:t>
      </w:r>
      <w:r>
        <w:rPr>
          <w:spacing w:val="-6"/>
        </w:rPr>
        <w:t> </w:t>
      </w:r>
      <w:r>
        <w:rPr/>
        <w:t>de</w:t>
      </w:r>
      <w:r>
        <w:rPr>
          <w:spacing w:val="-6"/>
        </w:rPr>
        <w:t> </w:t>
      </w:r>
      <w:r>
        <w:rPr/>
        <w:t>fondos;</w:t>
      </w:r>
      <w:r>
        <w:rPr>
          <w:spacing w:val="-6"/>
        </w:rPr>
        <w:t> </w:t>
      </w:r>
      <w:r>
        <w:rPr/>
        <w:t>o</w:t>
      </w:r>
      <w:r>
        <w:rPr>
          <w:spacing w:val="-4"/>
        </w:rPr>
        <w:t> </w:t>
      </w:r>
      <w:r>
        <w:rPr/>
        <w:t>fraude</w:t>
      </w:r>
      <w:r>
        <w:rPr>
          <w:spacing w:val="-6"/>
        </w:rPr>
        <w:t> </w:t>
      </w:r>
      <w:r>
        <w:rPr/>
        <w:t>y</w:t>
      </w:r>
      <w:r>
        <w:rPr>
          <w:spacing w:val="-5"/>
        </w:rPr>
        <w:t> </w:t>
      </w:r>
      <w:r>
        <w:rPr/>
        <w:t>tergiversación fraudulenta, cuando finalice la asociación y los fondos deberán ser reembolsados.</w:t>
      </w:r>
    </w:p>
    <w:p>
      <w:pPr>
        <w:pStyle w:val="Heading3"/>
        <w:numPr>
          <w:ilvl w:val="2"/>
          <w:numId w:val="4"/>
        </w:numPr>
        <w:tabs>
          <w:tab w:pos="937" w:val="left" w:leader="none"/>
          <w:tab w:pos="938" w:val="left" w:leader="none"/>
        </w:tabs>
        <w:spacing w:line="240" w:lineRule="auto" w:before="114" w:after="0"/>
        <w:ind w:left="937" w:right="0" w:hanging="836"/>
        <w:jc w:val="left"/>
      </w:pPr>
      <w:bookmarkStart w:name="_TOC_250006" w:id="27"/>
      <w:r>
        <w:rPr>
          <w:color w:val="FF0000"/>
        </w:rPr>
        <w:t>INFORMES</w:t>
      </w:r>
      <w:r>
        <w:rPr>
          <w:color w:val="FF0000"/>
          <w:spacing w:val="-8"/>
        </w:rPr>
        <w:t> </w:t>
      </w:r>
      <w:r>
        <w:rPr>
          <w:color w:val="FF0000"/>
        </w:rPr>
        <w:t>NARRATIVOS</w:t>
      </w:r>
      <w:r>
        <w:rPr>
          <w:color w:val="FF0000"/>
          <w:spacing w:val="-6"/>
        </w:rPr>
        <w:t> </w:t>
      </w:r>
      <w:r>
        <w:rPr>
          <w:color w:val="FF0000"/>
        </w:rPr>
        <w:t>Y</w:t>
      </w:r>
      <w:r>
        <w:rPr>
          <w:color w:val="FF0000"/>
          <w:spacing w:val="-8"/>
        </w:rPr>
        <w:t> </w:t>
      </w:r>
      <w:bookmarkEnd w:id="27"/>
      <w:r>
        <w:rPr>
          <w:color w:val="FF0000"/>
          <w:spacing w:val="-2"/>
        </w:rPr>
        <w:t>FINANCIEROS</w:t>
      </w:r>
    </w:p>
    <w:p>
      <w:pPr>
        <w:pStyle w:val="BodyText"/>
        <w:spacing w:line="268" w:lineRule="auto" w:before="161"/>
        <w:ind w:left="963" w:right="860" w:hanging="10"/>
        <w:jc w:val="both"/>
      </w:pPr>
      <w:r>
        <w:rPr/>
        <w:t>De acuerdo con las directrices reflejadas en el FA (</w:t>
      </w:r>
      <w:r>
        <w:rPr>
          <w:i/>
        </w:rPr>
        <w:t>siglas en inglés para Acuerdo</w:t>
      </w:r>
      <w:r>
        <w:rPr>
          <w:i/>
        </w:rPr>
        <w:t> Marco)</w:t>
      </w:r>
      <w:r>
        <w:rPr/>
        <w:t>,</w:t>
      </w:r>
      <w:r>
        <w:rPr>
          <w:spacing w:val="-6"/>
        </w:rPr>
        <w:t> </w:t>
      </w:r>
      <w:r>
        <w:rPr/>
        <w:t>el</w:t>
      </w:r>
      <w:r>
        <w:rPr>
          <w:spacing w:val="-7"/>
        </w:rPr>
        <w:t> </w:t>
      </w:r>
      <w:r>
        <w:rPr/>
        <w:t>EP</w:t>
      </w:r>
      <w:r>
        <w:rPr>
          <w:spacing w:val="-6"/>
        </w:rPr>
        <w:t> </w:t>
      </w:r>
      <w:r>
        <w:rPr/>
        <w:t>debe</w:t>
      </w:r>
      <w:r>
        <w:rPr>
          <w:spacing w:val="-6"/>
        </w:rPr>
        <w:t> </w:t>
      </w:r>
      <w:r>
        <w:rPr/>
        <w:t>presentar</w:t>
      </w:r>
      <w:r>
        <w:rPr>
          <w:spacing w:val="-6"/>
        </w:rPr>
        <w:t> </w:t>
      </w:r>
      <w:r>
        <w:rPr/>
        <w:t>informes</w:t>
      </w:r>
      <w:r>
        <w:rPr>
          <w:spacing w:val="-6"/>
        </w:rPr>
        <w:t> </w:t>
      </w:r>
      <w:r>
        <w:rPr/>
        <w:t>de</w:t>
      </w:r>
      <w:r>
        <w:rPr>
          <w:spacing w:val="-6"/>
        </w:rPr>
        <w:t> </w:t>
      </w:r>
      <w:r>
        <w:rPr/>
        <w:t>forma</w:t>
      </w:r>
      <w:r>
        <w:rPr>
          <w:spacing w:val="-6"/>
        </w:rPr>
        <w:t> </w:t>
      </w:r>
      <w:r>
        <w:rPr/>
        <w:t>periódica</w:t>
      </w:r>
      <w:r>
        <w:rPr>
          <w:spacing w:val="-6"/>
        </w:rPr>
        <w:t> </w:t>
      </w:r>
      <w:r>
        <w:rPr/>
        <w:t>y</w:t>
      </w:r>
      <w:r>
        <w:rPr>
          <w:spacing w:val="-5"/>
        </w:rPr>
        <w:t> </w:t>
      </w:r>
      <w:r>
        <w:rPr/>
        <w:t>al</w:t>
      </w:r>
      <w:r>
        <w:rPr>
          <w:spacing w:val="-7"/>
        </w:rPr>
        <w:t> </w:t>
      </w:r>
      <w:r>
        <w:rPr/>
        <w:t>final</w:t>
      </w:r>
      <w:r>
        <w:rPr>
          <w:spacing w:val="-7"/>
        </w:rPr>
        <w:t> </w:t>
      </w:r>
      <w:r>
        <w:rPr/>
        <w:t>de</w:t>
      </w:r>
      <w:r>
        <w:rPr>
          <w:spacing w:val="-6"/>
        </w:rPr>
        <w:t> </w:t>
      </w:r>
      <w:r>
        <w:rPr/>
        <w:t>la</w:t>
      </w:r>
      <w:r>
        <w:rPr>
          <w:spacing w:val="-4"/>
        </w:rPr>
        <w:t> </w:t>
      </w:r>
      <w:r>
        <w:rPr/>
        <w:t>asociación a DIPD respetando siempre las fechas de entrega detalladas en el FA.</w:t>
      </w:r>
    </w:p>
    <w:p>
      <w:pPr>
        <w:pStyle w:val="BodyText"/>
        <w:spacing w:line="268" w:lineRule="auto" w:before="130"/>
        <w:ind w:left="963" w:right="868" w:hanging="10"/>
        <w:jc w:val="both"/>
      </w:pPr>
      <w:r>
        <w:rPr/>
        <w:t>Las</w:t>
      </w:r>
      <w:r>
        <w:rPr>
          <w:spacing w:val="-1"/>
        </w:rPr>
        <w:t> </w:t>
      </w:r>
      <w:r>
        <w:rPr/>
        <w:t>cuentas</w:t>
      </w:r>
      <w:r>
        <w:rPr>
          <w:spacing w:val="-1"/>
        </w:rPr>
        <w:t> </w:t>
      </w:r>
      <w:r>
        <w:rPr/>
        <w:t>tanto del EP</w:t>
      </w:r>
      <w:r>
        <w:rPr>
          <w:spacing w:val="-2"/>
        </w:rPr>
        <w:t> </w:t>
      </w:r>
      <w:r>
        <w:rPr/>
        <w:t>como de sus</w:t>
      </w:r>
      <w:r>
        <w:rPr>
          <w:spacing w:val="-1"/>
        </w:rPr>
        <w:t> </w:t>
      </w:r>
      <w:r>
        <w:rPr/>
        <w:t>socios deben</w:t>
      </w:r>
      <w:r>
        <w:rPr>
          <w:spacing w:val="-3"/>
        </w:rPr>
        <w:t> </w:t>
      </w:r>
      <w:r>
        <w:rPr/>
        <w:t>ser</w:t>
      </w:r>
      <w:r>
        <w:rPr>
          <w:spacing w:val="-1"/>
        </w:rPr>
        <w:t> </w:t>
      </w:r>
      <w:r>
        <w:rPr/>
        <w:t>auditadas de forma anual. Un</w:t>
      </w:r>
      <w:r>
        <w:rPr>
          <w:spacing w:val="-9"/>
        </w:rPr>
        <w:t> </w:t>
      </w:r>
      <w:r>
        <w:rPr/>
        <w:t>período</w:t>
      </w:r>
      <w:r>
        <w:rPr>
          <w:spacing w:val="-7"/>
        </w:rPr>
        <w:t> </w:t>
      </w:r>
      <w:r>
        <w:rPr/>
        <w:t>de</w:t>
      </w:r>
      <w:r>
        <w:rPr>
          <w:spacing w:val="-9"/>
        </w:rPr>
        <w:t> </w:t>
      </w:r>
      <w:r>
        <w:rPr/>
        <w:t>contabilidad</w:t>
      </w:r>
      <w:r>
        <w:rPr>
          <w:spacing w:val="-7"/>
        </w:rPr>
        <w:t> </w:t>
      </w:r>
      <w:r>
        <w:rPr/>
        <w:t>de</w:t>
      </w:r>
      <w:r>
        <w:rPr>
          <w:spacing w:val="-9"/>
        </w:rPr>
        <w:t> </w:t>
      </w:r>
      <w:r>
        <w:rPr/>
        <w:t>un</w:t>
      </w:r>
      <w:r>
        <w:rPr>
          <w:spacing w:val="-7"/>
        </w:rPr>
        <w:t> </w:t>
      </w:r>
      <w:r>
        <w:rPr/>
        <w:t>máximo</w:t>
      </w:r>
      <w:r>
        <w:rPr>
          <w:spacing w:val="-7"/>
        </w:rPr>
        <w:t> </w:t>
      </w:r>
      <w:r>
        <w:rPr/>
        <w:t>de</w:t>
      </w:r>
      <w:r>
        <w:rPr>
          <w:spacing w:val="-7"/>
        </w:rPr>
        <w:t> </w:t>
      </w:r>
      <w:r>
        <w:rPr/>
        <w:t>18</w:t>
      </w:r>
      <w:r>
        <w:rPr>
          <w:spacing w:val="-9"/>
        </w:rPr>
        <w:t> </w:t>
      </w:r>
      <w:r>
        <w:rPr/>
        <w:t>meses</w:t>
      </w:r>
      <w:r>
        <w:rPr>
          <w:spacing w:val="-8"/>
        </w:rPr>
        <w:t> </w:t>
      </w:r>
      <w:r>
        <w:rPr/>
        <w:t>puede</w:t>
      </w:r>
      <w:r>
        <w:rPr>
          <w:spacing w:val="-9"/>
        </w:rPr>
        <w:t> </w:t>
      </w:r>
      <w:r>
        <w:rPr/>
        <w:t>ser</w:t>
      </w:r>
      <w:r>
        <w:rPr>
          <w:spacing w:val="-8"/>
        </w:rPr>
        <w:t> </w:t>
      </w:r>
      <w:r>
        <w:rPr/>
        <w:t>aceptado</w:t>
      </w:r>
      <w:r>
        <w:rPr>
          <w:spacing w:val="-9"/>
        </w:rPr>
        <w:t> </w:t>
      </w:r>
      <w:r>
        <w:rPr/>
        <w:t>al</w:t>
      </w:r>
      <w:r>
        <w:rPr>
          <w:spacing w:val="-10"/>
        </w:rPr>
        <w:t> </w:t>
      </w:r>
      <w:r>
        <w:rPr/>
        <w:t>inicio y al final de la asociación de partidos.</w:t>
      </w:r>
    </w:p>
    <w:p>
      <w:pPr>
        <w:pStyle w:val="BodyText"/>
        <w:spacing w:line="268" w:lineRule="auto" w:before="127"/>
        <w:ind w:left="963" w:right="859" w:hanging="10"/>
        <w:jc w:val="both"/>
      </w:pPr>
      <w:r>
        <w:rPr/>
        <w:t>El EP debe</w:t>
      </w:r>
      <w:r>
        <w:rPr>
          <w:spacing w:val="-1"/>
        </w:rPr>
        <w:t> </w:t>
      </w:r>
      <w:r>
        <w:rPr/>
        <w:t>acordar fechas exactas de entrega</w:t>
      </w:r>
      <w:r>
        <w:rPr>
          <w:spacing w:val="-1"/>
        </w:rPr>
        <w:t> </w:t>
      </w:r>
      <w:r>
        <w:rPr/>
        <w:t>de</w:t>
      </w:r>
      <w:r>
        <w:rPr>
          <w:spacing w:val="-1"/>
        </w:rPr>
        <w:t> </w:t>
      </w:r>
      <w:r>
        <w:rPr/>
        <w:t>auditorías además de las fechas para pagos de fondos una vez la contabilidad haya sido presentada en el FA. Los pagos de la subvención estarán ligados a la entrega de las cuentas auditadas. Las cuentas auditadas deben entregarse a DIPD no más tarde de tres meses después del fin del año (finales de marzo) o seis meses después de la finalización de la </w:t>
      </w:r>
      <w:r>
        <w:rPr>
          <w:spacing w:val="-2"/>
        </w:rPr>
        <w:t>colaboración.</w:t>
      </w:r>
    </w:p>
    <w:p>
      <w:pPr>
        <w:pStyle w:val="Heading2"/>
        <w:numPr>
          <w:ilvl w:val="1"/>
          <w:numId w:val="4"/>
        </w:numPr>
        <w:tabs>
          <w:tab w:pos="1186" w:val="left" w:leader="none"/>
          <w:tab w:pos="1187" w:val="left" w:leader="none"/>
        </w:tabs>
        <w:spacing w:line="240" w:lineRule="auto" w:before="136" w:after="0"/>
        <w:ind w:left="1186" w:right="0" w:hanging="1085"/>
        <w:jc w:val="left"/>
      </w:pPr>
      <w:bookmarkStart w:name="_TOC_250005" w:id="28"/>
      <w:r>
        <w:rPr>
          <w:color w:val="FF0000"/>
        </w:rPr>
        <w:t>GESTIÓN</w:t>
      </w:r>
      <w:r>
        <w:rPr>
          <w:color w:val="FF0000"/>
          <w:spacing w:val="-2"/>
        </w:rPr>
        <w:t> </w:t>
      </w:r>
      <w:r>
        <w:rPr>
          <w:color w:val="FF0000"/>
        </w:rPr>
        <w:t>DE</w:t>
      </w:r>
      <w:bookmarkEnd w:id="28"/>
      <w:r>
        <w:rPr>
          <w:color w:val="FF0000"/>
          <w:spacing w:val="-2"/>
        </w:rPr>
        <w:t> FONDOS</w:t>
      </w:r>
    </w:p>
    <w:p>
      <w:pPr>
        <w:pStyle w:val="BodyText"/>
        <w:spacing w:line="268" w:lineRule="auto" w:before="187"/>
        <w:ind w:left="963" w:right="866" w:hanging="10"/>
        <w:jc w:val="both"/>
      </w:pPr>
      <w:r>
        <w:rPr/>
        <w:t>La próxima sección presenta los requisitos que se aplican a las cuentas, el presupuesto y la auditoría de los fondos de DIPD.</w:t>
      </w:r>
    </w:p>
    <w:p>
      <w:pPr>
        <w:pStyle w:val="BodyText"/>
        <w:spacing w:before="11"/>
        <w:rPr>
          <w:sz w:val="31"/>
        </w:rPr>
      </w:pPr>
    </w:p>
    <w:p>
      <w:pPr>
        <w:pStyle w:val="Heading3"/>
        <w:numPr>
          <w:ilvl w:val="2"/>
          <w:numId w:val="4"/>
        </w:numPr>
        <w:tabs>
          <w:tab w:pos="659" w:val="left" w:leader="none"/>
        </w:tabs>
        <w:spacing w:line="240" w:lineRule="auto" w:before="0" w:after="0"/>
        <w:ind w:left="658" w:right="0" w:hanging="557"/>
        <w:jc w:val="left"/>
      </w:pPr>
      <w:bookmarkStart w:name="_TOC_250004" w:id="29"/>
      <w:r>
        <w:rPr>
          <w:color w:val="FF0000"/>
        </w:rPr>
        <w:t>POLÍTICAS</w:t>
      </w:r>
      <w:r>
        <w:rPr>
          <w:color w:val="FF0000"/>
          <w:spacing w:val="-5"/>
        </w:rPr>
        <w:t> </w:t>
      </w:r>
      <w:r>
        <w:rPr>
          <w:color w:val="FF0000"/>
        </w:rPr>
        <w:t>APLICADAS</w:t>
      </w:r>
      <w:r>
        <w:rPr>
          <w:color w:val="FF0000"/>
          <w:spacing w:val="-4"/>
        </w:rPr>
        <w:t> </w:t>
      </w:r>
      <w:r>
        <w:rPr>
          <w:color w:val="FF0000"/>
        </w:rPr>
        <w:t>A</w:t>
      </w:r>
      <w:r>
        <w:rPr>
          <w:color w:val="FF0000"/>
          <w:spacing w:val="-6"/>
        </w:rPr>
        <w:t> </w:t>
      </w:r>
      <w:r>
        <w:rPr>
          <w:color w:val="FF0000"/>
        </w:rPr>
        <w:t>LA</w:t>
      </w:r>
      <w:r>
        <w:rPr>
          <w:color w:val="FF0000"/>
          <w:spacing w:val="-7"/>
        </w:rPr>
        <w:t> </w:t>
      </w:r>
      <w:bookmarkEnd w:id="29"/>
      <w:r>
        <w:rPr>
          <w:color w:val="FF0000"/>
          <w:spacing w:val="-2"/>
        </w:rPr>
        <w:t>CONTABILIDAD</w:t>
      </w:r>
    </w:p>
    <w:p>
      <w:pPr>
        <w:pStyle w:val="BodyText"/>
        <w:spacing w:line="268" w:lineRule="auto" w:before="161"/>
        <w:ind w:left="963" w:right="868" w:hanging="10"/>
        <w:jc w:val="both"/>
      </w:pPr>
      <w:r>
        <w:rPr/>
        <w:t>Las cuentas deben presentarse respetando las directrices del Ministerio de Exteriores de Dinamarca y además según las directrices de DIPD.</w:t>
      </w:r>
    </w:p>
    <w:p>
      <w:pPr>
        <w:pStyle w:val="BodyText"/>
        <w:spacing w:line="268" w:lineRule="auto" w:before="128"/>
        <w:ind w:left="963" w:right="861" w:hanging="10"/>
        <w:jc w:val="both"/>
      </w:pPr>
      <w:r>
        <w:rPr/>
        <w:pict>
          <v:line style="position:absolute;mso-position-horizontal-relative:page;mso-position-vertical-relative:paragraph;z-index:15745536" from="111.949997pt,168.639893pt" to="249.499997pt,168.639893pt" stroked="true" strokeweight=".96pt" strokecolor="#000000">
            <v:stroke dashstyle="shortdot"/>
            <w10:wrap type="none"/>
          </v:line>
        </w:pict>
      </w:r>
      <w:r>
        <w:rPr/>
        <w:t>EL EP y el socio deben mantener las cuentas de recepción de la subvención respetando</w:t>
      </w:r>
      <w:r>
        <w:rPr>
          <w:spacing w:val="-4"/>
        </w:rPr>
        <w:t> </w:t>
      </w:r>
      <w:r>
        <w:rPr/>
        <w:t>buenas</w:t>
      </w:r>
      <w:r>
        <w:rPr>
          <w:spacing w:val="-2"/>
        </w:rPr>
        <w:t> </w:t>
      </w:r>
      <w:r>
        <w:rPr/>
        <w:t>prácticas</w:t>
      </w:r>
      <w:r>
        <w:rPr>
          <w:spacing w:val="-2"/>
        </w:rPr>
        <w:t> </w:t>
      </w:r>
      <w:r>
        <w:rPr/>
        <w:t>de</w:t>
      </w:r>
      <w:r>
        <w:rPr>
          <w:spacing w:val="-4"/>
        </w:rPr>
        <w:t> </w:t>
      </w:r>
      <w:r>
        <w:rPr/>
        <w:t>teneduría</w:t>
      </w:r>
      <w:r>
        <w:rPr>
          <w:spacing w:val="-3"/>
        </w:rPr>
        <w:t> </w:t>
      </w:r>
      <w:r>
        <w:rPr/>
        <w:t>de libros</w:t>
      </w:r>
      <w:r>
        <w:rPr>
          <w:spacing w:val="-2"/>
        </w:rPr>
        <w:t> </w:t>
      </w:r>
      <w:r>
        <w:rPr/>
        <w:t>y</w:t>
      </w:r>
      <w:r>
        <w:rPr>
          <w:spacing w:val="-2"/>
        </w:rPr>
        <w:t> </w:t>
      </w:r>
      <w:r>
        <w:rPr/>
        <w:t>principios</w:t>
      </w:r>
      <w:r>
        <w:rPr>
          <w:spacing w:val="-2"/>
        </w:rPr>
        <w:t> </w:t>
      </w:r>
      <w:r>
        <w:rPr/>
        <w:t>de</w:t>
      </w:r>
      <w:r>
        <w:rPr>
          <w:spacing w:val="-3"/>
        </w:rPr>
        <w:t> </w:t>
      </w:r>
      <w:r>
        <w:rPr/>
        <w:t>contabilidad.</w:t>
      </w:r>
      <w:r>
        <w:rPr>
          <w:spacing w:val="-3"/>
        </w:rPr>
        <w:t> </w:t>
      </w:r>
      <w:r>
        <w:rPr/>
        <w:t>Es aconsejable que el EP prepare directrices internas para asegurarse de que los fondos son administrados de forma apropiada y utilizados para conseguir los objetivos</w:t>
      </w:r>
      <w:r>
        <w:rPr>
          <w:spacing w:val="-14"/>
        </w:rPr>
        <w:t> </w:t>
      </w:r>
      <w:r>
        <w:rPr/>
        <w:t>de</w:t>
      </w:r>
      <w:r>
        <w:rPr>
          <w:spacing w:val="-14"/>
        </w:rPr>
        <w:t> </w:t>
      </w:r>
      <w:r>
        <w:rPr/>
        <w:t>la</w:t>
      </w:r>
      <w:r>
        <w:rPr>
          <w:spacing w:val="-14"/>
        </w:rPr>
        <w:t> </w:t>
      </w:r>
      <w:r>
        <w:rPr/>
        <w:t>subvención.</w:t>
      </w:r>
      <w:r>
        <w:rPr>
          <w:spacing w:val="-14"/>
        </w:rPr>
        <w:t> </w:t>
      </w:r>
      <w:r>
        <w:rPr/>
        <w:t>El</w:t>
      </w:r>
      <w:r>
        <w:rPr>
          <w:spacing w:val="-14"/>
        </w:rPr>
        <w:t> </w:t>
      </w:r>
      <w:r>
        <w:rPr/>
        <w:t>EP</w:t>
      </w:r>
      <w:r>
        <w:rPr>
          <w:spacing w:val="-14"/>
        </w:rPr>
        <w:t> </w:t>
      </w:r>
      <w:r>
        <w:rPr/>
        <w:t>debe</w:t>
      </w:r>
      <w:r>
        <w:rPr>
          <w:spacing w:val="-13"/>
        </w:rPr>
        <w:t> </w:t>
      </w:r>
      <w:r>
        <w:rPr/>
        <w:t>mantener</w:t>
      </w:r>
      <w:r>
        <w:rPr>
          <w:spacing w:val="-14"/>
        </w:rPr>
        <w:t> </w:t>
      </w:r>
      <w:r>
        <w:rPr/>
        <w:t>registros</w:t>
      </w:r>
      <w:r>
        <w:rPr>
          <w:spacing w:val="-14"/>
        </w:rPr>
        <w:t> </w:t>
      </w:r>
      <w:r>
        <w:rPr/>
        <w:t>de</w:t>
      </w:r>
      <w:r>
        <w:rPr>
          <w:spacing w:val="-10"/>
        </w:rPr>
        <w:t> </w:t>
      </w:r>
      <w:r>
        <w:rPr/>
        <w:t>contabilidad</w:t>
      </w:r>
      <w:r>
        <w:rPr>
          <w:spacing w:val="-14"/>
        </w:rPr>
        <w:t> </w:t>
      </w:r>
      <w:r>
        <w:rPr/>
        <w:t>siguiendo estás directrices. Estos registros deben conservarse durante cinco años desde la finalización</w:t>
      </w:r>
      <w:r>
        <w:rPr>
          <w:spacing w:val="-14"/>
        </w:rPr>
        <w:t> </w:t>
      </w:r>
      <w:r>
        <w:rPr/>
        <w:t>de</w:t>
      </w:r>
      <w:r>
        <w:rPr>
          <w:spacing w:val="-14"/>
        </w:rPr>
        <w:t> </w:t>
      </w:r>
      <w:r>
        <w:rPr/>
        <w:t>la</w:t>
      </w:r>
      <w:r>
        <w:rPr>
          <w:spacing w:val="-14"/>
        </w:rPr>
        <w:t> </w:t>
      </w:r>
      <w:r>
        <w:rPr/>
        <w:t>asociación</w:t>
      </w:r>
      <w:r>
        <w:rPr>
          <w:spacing w:val="-14"/>
        </w:rPr>
        <w:t> </w:t>
      </w:r>
      <w:r>
        <w:rPr/>
        <w:t>entre</w:t>
      </w:r>
      <w:r>
        <w:rPr>
          <w:spacing w:val="-14"/>
        </w:rPr>
        <w:t> </w:t>
      </w:r>
      <w:r>
        <w:rPr/>
        <w:t>partidos</w:t>
      </w:r>
      <w:r>
        <w:rPr>
          <w:spacing w:val="-13"/>
        </w:rPr>
        <w:t> </w:t>
      </w:r>
      <w:r>
        <w:rPr/>
        <w:t>en</w:t>
      </w:r>
      <w:r>
        <w:rPr>
          <w:spacing w:val="-14"/>
        </w:rPr>
        <w:t> </w:t>
      </w:r>
      <w:r>
        <w:rPr/>
        <w:t>cuestión.</w:t>
      </w:r>
      <w:r>
        <w:rPr>
          <w:spacing w:val="-12"/>
        </w:rPr>
        <w:t> </w:t>
      </w:r>
      <w:r>
        <w:rPr/>
        <w:t>Los</w:t>
      </w:r>
      <w:r>
        <w:rPr>
          <w:spacing w:val="-13"/>
        </w:rPr>
        <w:t> </w:t>
      </w:r>
      <w:r>
        <w:rPr/>
        <w:t>registros</w:t>
      </w:r>
      <w:r>
        <w:rPr>
          <w:spacing w:val="-14"/>
        </w:rPr>
        <w:t> </w:t>
      </w:r>
      <w:r>
        <w:rPr/>
        <w:t>de</w:t>
      </w:r>
      <w:r>
        <w:rPr>
          <w:spacing w:val="-14"/>
        </w:rPr>
        <w:t> </w:t>
      </w:r>
      <w:r>
        <w:rPr/>
        <w:t>contabilidad deben estar disponibles para inspecciones de DIPD, del Ministerio de Exteriores o a petición del Auditor General Danés. Las subvenciones deben recibirse en una cuenta bancaria independiente.</w:t>
      </w:r>
    </w:p>
    <w:p>
      <w:pPr>
        <w:spacing w:after="0" w:line="268" w:lineRule="auto"/>
        <w:jc w:val="both"/>
        <w:sectPr>
          <w:headerReference w:type="default" r:id="rId49"/>
          <w:footerReference w:type="default" r:id="rId50"/>
          <w:pgSz w:w="11910" w:h="16850"/>
          <w:pgMar w:header="718" w:footer="843" w:top="940" w:bottom="1040" w:left="1300" w:right="1400"/>
        </w:sectPr>
      </w:pPr>
    </w:p>
    <w:p>
      <w:pPr>
        <w:pStyle w:val="Heading3"/>
        <w:numPr>
          <w:ilvl w:val="2"/>
          <w:numId w:val="4"/>
        </w:numPr>
        <w:tabs>
          <w:tab w:pos="736" w:val="left" w:leader="none"/>
        </w:tabs>
        <w:spacing w:line="266" w:lineRule="auto" w:before="182" w:after="0"/>
        <w:ind w:left="102" w:right="940" w:firstLine="0"/>
        <w:jc w:val="left"/>
      </w:pPr>
      <w:r>
        <w:rPr>
          <w:color w:val="FF0000"/>
        </w:rPr>
        <w:t>REVISIONES</w:t>
      </w:r>
      <w:r>
        <w:rPr>
          <w:color w:val="FF0000"/>
          <w:spacing w:val="-5"/>
        </w:rPr>
        <w:t> </w:t>
      </w:r>
      <w:r>
        <w:rPr>
          <w:color w:val="FF0000"/>
        </w:rPr>
        <w:t>DE</w:t>
      </w:r>
      <w:r>
        <w:rPr>
          <w:color w:val="FF0000"/>
          <w:spacing w:val="-5"/>
        </w:rPr>
        <w:t> </w:t>
      </w:r>
      <w:r>
        <w:rPr>
          <w:color w:val="FF0000"/>
        </w:rPr>
        <w:t>PRESUPUESTOS</w:t>
      </w:r>
      <w:r>
        <w:rPr>
          <w:color w:val="FF0000"/>
          <w:spacing w:val="-7"/>
        </w:rPr>
        <w:t> </w:t>
      </w:r>
      <w:r>
        <w:rPr>
          <w:color w:val="FF0000"/>
        </w:rPr>
        <w:t>DURANTE</w:t>
      </w:r>
      <w:r>
        <w:rPr>
          <w:color w:val="FF0000"/>
          <w:spacing w:val="-7"/>
        </w:rPr>
        <w:t> </w:t>
      </w:r>
      <w:r>
        <w:rPr>
          <w:color w:val="FF0000"/>
        </w:rPr>
        <w:t>EL</w:t>
      </w:r>
      <w:r>
        <w:rPr>
          <w:color w:val="FF0000"/>
          <w:spacing w:val="-7"/>
        </w:rPr>
        <w:t> </w:t>
      </w:r>
      <w:r>
        <w:rPr>
          <w:color w:val="FF0000"/>
        </w:rPr>
        <w:t>PERÍODO</w:t>
      </w:r>
      <w:r>
        <w:rPr>
          <w:color w:val="FF0000"/>
          <w:spacing w:val="-6"/>
        </w:rPr>
        <w:t> </w:t>
      </w:r>
      <w:r>
        <w:rPr>
          <w:color w:val="FF0000"/>
        </w:rPr>
        <w:t>DE</w:t>
      </w:r>
      <w:r>
        <w:rPr>
          <w:color w:val="FF0000"/>
          <w:spacing w:val="-7"/>
        </w:rPr>
        <w:t> </w:t>
      </w:r>
      <w:r>
        <w:rPr>
          <w:color w:val="FF0000"/>
        </w:rPr>
        <w:t>ASOCIACIÓN</w:t>
      </w:r>
      <w:r>
        <w:rPr>
          <w:color w:val="FF0000"/>
          <w:spacing w:val="-4"/>
        </w:rPr>
        <w:t> </w:t>
      </w:r>
      <w:r>
        <w:rPr>
          <w:color w:val="FF0000"/>
        </w:rPr>
        <w:t>DE </w:t>
      </w:r>
      <w:r>
        <w:rPr>
          <w:color w:val="FF0000"/>
          <w:spacing w:val="-2"/>
        </w:rPr>
        <w:t>COOPERACIÓN</w:t>
      </w:r>
    </w:p>
    <w:p>
      <w:pPr>
        <w:pStyle w:val="BodyText"/>
        <w:spacing w:line="271" w:lineRule="auto" w:before="133"/>
        <w:ind w:left="963" w:right="860" w:hanging="10"/>
        <w:jc w:val="both"/>
      </w:pPr>
      <w:r>
        <w:rPr/>
        <w:t>El EP tiene el derecho de redistribuir los fondos entre los diferentes </w:t>
      </w:r>
      <w:r>
        <w:rPr>
          <w:i/>
        </w:rPr>
        <w:t>outputs </w:t>
      </w:r>
      <w:r>
        <w:rPr/>
        <w:t>del presupuesto.</w:t>
      </w:r>
      <w:r>
        <w:rPr>
          <w:spacing w:val="-13"/>
        </w:rPr>
        <w:t> </w:t>
      </w:r>
      <w:r>
        <w:rPr/>
        <w:t>Los</w:t>
      </w:r>
      <w:r>
        <w:rPr>
          <w:spacing w:val="-11"/>
        </w:rPr>
        <w:t> </w:t>
      </w:r>
      <w:r>
        <w:rPr/>
        <w:t>cambios</w:t>
      </w:r>
      <w:r>
        <w:rPr>
          <w:spacing w:val="-9"/>
        </w:rPr>
        <w:t> </w:t>
      </w:r>
      <w:r>
        <w:rPr/>
        <w:t>que</w:t>
      </w:r>
      <w:r>
        <w:rPr>
          <w:spacing w:val="-10"/>
        </w:rPr>
        <w:t> </w:t>
      </w:r>
      <w:r>
        <w:rPr/>
        <w:t>excedan</w:t>
      </w:r>
      <w:r>
        <w:rPr>
          <w:spacing w:val="-10"/>
        </w:rPr>
        <w:t> </w:t>
      </w:r>
      <w:r>
        <w:rPr/>
        <w:t>el</w:t>
      </w:r>
      <w:r>
        <w:rPr>
          <w:spacing w:val="-11"/>
        </w:rPr>
        <w:t> </w:t>
      </w:r>
      <w:r>
        <w:rPr/>
        <w:t>30%</w:t>
      </w:r>
      <w:r>
        <w:rPr>
          <w:spacing w:val="-9"/>
        </w:rPr>
        <w:t> </w:t>
      </w:r>
      <w:r>
        <w:rPr/>
        <w:t>deben</w:t>
      </w:r>
      <w:r>
        <w:rPr>
          <w:spacing w:val="-10"/>
        </w:rPr>
        <w:t> </w:t>
      </w:r>
      <w:r>
        <w:rPr/>
        <w:t>ser</w:t>
      </w:r>
      <w:r>
        <w:rPr>
          <w:spacing w:val="-12"/>
        </w:rPr>
        <w:t> </w:t>
      </w:r>
      <w:r>
        <w:rPr/>
        <w:t>presentados</w:t>
      </w:r>
      <w:r>
        <w:rPr>
          <w:spacing w:val="-11"/>
        </w:rPr>
        <w:t> </w:t>
      </w:r>
      <w:r>
        <w:rPr/>
        <w:t>y</w:t>
      </w:r>
      <w:r>
        <w:rPr>
          <w:spacing w:val="-11"/>
        </w:rPr>
        <w:t> </w:t>
      </w:r>
      <w:r>
        <w:rPr/>
        <w:t>aprobados por la Ejecutiva de DIPD.</w:t>
      </w:r>
    </w:p>
    <w:p>
      <w:pPr>
        <w:pStyle w:val="Heading3"/>
        <w:numPr>
          <w:ilvl w:val="2"/>
          <w:numId w:val="4"/>
        </w:numPr>
        <w:tabs>
          <w:tab w:pos="963" w:val="left" w:leader="none"/>
          <w:tab w:pos="964" w:val="left" w:leader="none"/>
        </w:tabs>
        <w:spacing w:line="240" w:lineRule="auto" w:before="123" w:after="0"/>
        <w:ind w:left="963" w:right="0" w:hanging="862"/>
        <w:jc w:val="left"/>
      </w:pPr>
      <w:bookmarkStart w:name="_TOC_250003" w:id="30"/>
      <w:r>
        <w:rPr>
          <w:color w:val="FF0000"/>
        </w:rPr>
        <w:t>REQUISITOS</w:t>
      </w:r>
      <w:r>
        <w:rPr>
          <w:color w:val="FF0000"/>
          <w:spacing w:val="-6"/>
        </w:rPr>
        <w:t> </w:t>
      </w:r>
      <w:r>
        <w:rPr>
          <w:color w:val="FF0000"/>
        </w:rPr>
        <w:t>PARA</w:t>
      </w:r>
      <w:r>
        <w:rPr>
          <w:color w:val="FF0000"/>
          <w:spacing w:val="-6"/>
        </w:rPr>
        <w:t> </w:t>
      </w:r>
      <w:r>
        <w:rPr>
          <w:color w:val="FF0000"/>
        </w:rPr>
        <w:t>LAS</w:t>
      </w:r>
      <w:r>
        <w:rPr>
          <w:color w:val="FF0000"/>
          <w:spacing w:val="-5"/>
        </w:rPr>
        <w:t> </w:t>
      </w:r>
      <w:bookmarkEnd w:id="30"/>
      <w:r>
        <w:rPr>
          <w:color w:val="FF0000"/>
          <w:spacing w:val="-2"/>
        </w:rPr>
        <w:t>CUENTAS</w:t>
      </w:r>
    </w:p>
    <w:p>
      <w:pPr>
        <w:pStyle w:val="BodyText"/>
        <w:spacing w:line="268" w:lineRule="auto" w:before="161"/>
        <w:ind w:left="963" w:right="860" w:hanging="10"/>
        <w:jc w:val="both"/>
      </w:pPr>
      <w:r>
        <w:rPr/>
        <w:t>El formato de las cuentas anuales auditadas debe estar bien estructuradas y respetando</w:t>
      </w:r>
      <w:r>
        <w:rPr>
          <w:spacing w:val="-2"/>
        </w:rPr>
        <w:t> </w:t>
      </w:r>
      <w:r>
        <w:rPr/>
        <w:t>las</w:t>
      </w:r>
      <w:r>
        <w:rPr>
          <w:spacing w:val="-1"/>
        </w:rPr>
        <w:t> </w:t>
      </w:r>
      <w:r>
        <w:rPr/>
        <w:t>directrices</w:t>
      </w:r>
      <w:r>
        <w:rPr>
          <w:spacing w:val="-3"/>
        </w:rPr>
        <w:t> </w:t>
      </w:r>
      <w:r>
        <w:rPr/>
        <w:t>de</w:t>
      </w:r>
      <w:r>
        <w:rPr>
          <w:spacing w:val="-4"/>
        </w:rPr>
        <w:t> </w:t>
      </w:r>
      <w:r>
        <w:rPr/>
        <w:t>DIPD.</w:t>
      </w:r>
      <w:r>
        <w:rPr>
          <w:spacing w:val="-1"/>
        </w:rPr>
        <w:t> </w:t>
      </w:r>
      <w:r>
        <w:rPr/>
        <w:t>Deben</w:t>
      </w:r>
      <w:r>
        <w:rPr>
          <w:spacing w:val="-2"/>
        </w:rPr>
        <w:t> </w:t>
      </w:r>
      <w:r>
        <w:rPr/>
        <w:t>incluir</w:t>
      </w:r>
      <w:r>
        <w:rPr>
          <w:spacing w:val="-3"/>
        </w:rPr>
        <w:t> </w:t>
      </w:r>
      <w:r>
        <w:rPr/>
        <w:t>cualquier</w:t>
      </w:r>
      <w:r>
        <w:rPr>
          <w:spacing w:val="-4"/>
        </w:rPr>
        <w:t> </w:t>
      </w:r>
      <w:r>
        <w:rPr/>
        <w:t>tipo</w:t>
      </w:r>
      <w:r>
        <w:rPr>
          <w:spacing w:val="-2"/>
        </w:rPr>
        <w:t> </w:t>
      </w:r>
      <w:r>
        <w:rPr/>
        <w:t>de</w:t>
      </w:r>
      <w:r>
        <w:rPr>
          <w:spacing w:val="-2"/>
        </w:rPr>
        <w:t> </w:t>
      </w:r>
      <w:r>
        <w:rPr/>
        <w:t>información</w:t>
      </w:r>
      <w:r>
        <w:rPr>
          <w:spacing w:val="-2"/>
        </w:rPr>
        <w:t> </w:t>
      </w:r>
      <w:r>
        <w:rPr/>
        <w:t>que pueda ser necesaria para facilitar la comprensión de estas. En las cuentas, el EP debe demostrar que la subvención se ha utilizado según los objetivos acordados con la Ejecutiva de DIPD.</w:t>
      </w:r>
    </w:p>
    <w:p>
      <w:pPr>
        <w:pStyle w:val="BodyText"/>
        <w:spacing w:before="131"/>
        <w:ind w:left="954"/>
      </w:pPr>
      <w:r>
        <w:rPr/>
        <w:t>Las</w:t>
      </w:r>
      <w:r>
        <w:rPr>
          <w:spacing w:val="-8"/>
        </w:rPr>
        <w:t> </w:t>
      </w:r>
      <w:r>
        <w:rPr/>
        <w:t>cuentas</w:t>
      </w:r>
      <w:r>
        <w:rPr>
          <w:spacing w:val="-8"/>
        </w:rPr>
        <w:t> </w:t>
      </w:r>
      <w:r>
        <w:rPr/>
        <w:t>anuales</w:t>
      </w:r>
      <w:r>
        <w:rPr>
          <w:spacing w:val="-7"/>
        </w:rPr>
        <w:t> </w:t>
      </w:r>
      <w:r>
        <w:rPr/>
        <w:t>auditadas</w:t>
      </w:r>
      <w:r>
        <w:rPr>
          <w:spacing w:val="-8"/>
        </w:rPr>
        <w:t> </w:t>
      </w:r>
      <w:r>
        <w:rPr/>
        <w:t>deben</w:t>
      </w:r>
      <w:r>
        <w:rPr>
          <w:spacing w:val="-8"/>
        </w:rPr>
        <w:t> </w:t>
      </w:r>
      <w:r>
        <w:rPr/>
        <w:t>contener</w:t>
      </w:r>
      <w:r>
        <w:rPr>
          <w:spacing w:val="-8"/>
        </w:rPr>
        <w:t> </w:t>
      </w:r>
      <w:r>
        <w:rPr/>
        <w:t>lo</w:t>
      </w:r>
      <w:r>
        <w:rPr>
          <w:spacing w:val="-8"/>
        </w:rPr>
        <w:t> </w:t>
      </w:r>
      <w:r>
        <w:rPr>
          <w:spacing w:val="-2"/>
        </w:rPr>
        <w:t>siguiente:</w:t>
      </w:r>
    </w:p>
    <w:p>
      <w:pPr>
        <w:spacing w:before="154"/>
        <w:ind w:left="963" w:right="0" w:firstLine="0"/>
        <w:jc w:val="left"/>
        <w:rPr>
          <w:i/>
          <w:sz w:val="20"/>
        </w:rPr>
      </w:pPr>
      <w:r>
        <w:rPr>
          <w:rFonts w:ascii="Segoe UI Symbol" w:hAnsi="Segoe UI Symbol"/>
          <w:color w:val="FF0000"/>
          <w:sz w:val="20"/>
        </w:rPr>
        <w:t>→</w:t>
      </w:r>
      <w:r>
        <w:rPr>
          <w:rFonts w:ascii="Segoe UI Symbol" w:hAnsi="Segoe UI Symbol"/>
          <w:color w:val="FF0000"/>
          <w:spacing w:val="-1"/>
          <w:sz w:val="20"/>
        </w:rPr>
        <w:t> </w:t>
      </w:r>
      <w:r>
        <w:rPr>
          <w:i/>
          <w:spacing w:val="-2"/>
          <w:sz w:val="20"/>
        </w:rPr>
        <w:t>Identificación</w:t>
      </w:r>
    </w:p>
    <w:p>
      <w:pPr>
        <w:spacing w:before="34"/>
        <w:ind w:left="963" w:right="0" w:firstLine="0"/>
        <w:jc w:val="left"/>
        <w:rPr>
          <w:i/>
          <w:sz w:val="20"/>
        </w:rPr>
      </w:pPr>
      <w:r>
        <w:rPr>
          <w:rFonts w:ascii="Segoe UI Symbol" w:hAnsi="Segoe UI Symbol"/>
          <w:color w:val="FF0000"/>
          <w:sz w:val="20"/>
        </w:rPr>
        <w:t>→</w:t>
      </w:r>
      <w:r>
        <w:rPr>
          <w:rFonts w:ascii="Segoe UI Symbol" w:hAnsi="Segoe UI Symbol"/>
          <w:color w:val="FF0000"/>
          <w:spacing w:val="-3"/>
          <w:sz w:val="20"/>
        </w:rPr>
        <w:t> </w:t>
      </w:r>
      <w:r>
        <w:rPr>
          <w:i/>
          <w:sz w:val="20"/>
        </w:rPr>
        <w:t>El</w:t>
      </w:r>
      <w:r>
        <w:rPr>
          <w:i/>
          <w:spacing w:val="-3"/>
          <w:sz w:val="20"/>
        </w:rPr>
        <w:t> </w:t>
      </w:r>
      <w:r>
        <w:rPr>
          <w:i/>
          <w:sz w:val="20"/>
        </w:rPr>
        <w:t>aval</w:t>
      </w:r>
      <w:r>
        <w:rPr>
          <w:i/>
          <w:spacing w:val="-4"/>
          <w:sz w:val="20"/>
        </w:rPr>
        <w:t> </w:t>
      </w:r>
      <w:r>
        <w:rPr>
          <w:i/>
          <w:sz w:val="20"/>
        </w:rPr>
        <w:t>de</w:t>
      </w:r>
      <w:r>
        <w:rPr>
          <w:i/>
          <w:spacing w:val="-3"/>
          <w:sz w:val="20"/>
        </w:rPr>
        <w:t> </w:t>
      </w:r>
      <w:r>
        <w:rPr>
          <w:i/>
          <w:sz w:val="20"/>
        </w:rPr>
        <w:t>la</w:t>
      </w:r>
      <w:r>
        <w:rPr>
          <w:i/>
          <w:spacing w:val="-2"/>
          <w:sz w:val="20"/>
        </w:rPr>
        <w:t> dirección</w:t>
      </w:r>
    </w:p>
    <w:p>
      <w:pPr>
        <w:spacing w:before="32"/>
        <w:ind w:left="963" w:right="0" w:firstLine="0"/>
        <w:jc w:val="left"/>
        <w:rPr>
          <w:i/>
          <w:sz w:val="20"/>
        </w:rPr>
      </w:pPr>
      <w:r>
        <w:rPr>
          <w:rFonts w:ascii="Segoe UI Symbol" w:hAnsi="Segoe UI Symbol"/>
          <w:color w:val="FF0000"/>
          <w:sz w:val="20"/>
        </w:rPr>
        <w:t>→</w:t>
      </w:r>
      <w:r>
        <w:rPr>
          <w:rFonts w:ascii="Segoe UI Symbol" w:hAnsi="Segoe UI Symbol"/>
          <w:color w:val="FF0000"/>
          <w:spacing w:val="-4"/>
          <w:sz w:val="20"/>
        </w:rPr>
        <w:t> </w:t>
      </w:r>
      <w:r>
        <w:rPr>
          <w:i/>
          <w:sz w:val="20"/>
        </w:rPr>
        <w:t>Informe</w:t>
      </w:r>
      <w:r>
        <w:rPr>
          <w:i/>
          <w:spacing w:val="-6"/>
          <w:sz w:val="20"/>
        </w:rPr>
        <w:t> </w:t>
      </w:r>
      <w:r>
        <w:rPr>
          <w:i/>
          <w:spacing w:val="-2"/>
          <w:sz w:val="20"/>
        </w:rPr>
        <w:t>contable</w:t>
      </w:r>
    </w:p>
    <w:p>
      <w:pPr>
        <w:spacing w:before="32"/>
        <w:ind w:left="963" w:right="0" w:firstLine="0"/>
        <w:jc w:val="left"/>
        <w:rPr>
          <w:i/>
          <w:sz w:val="20"/>
        </w:rPr>
      </w:pPr>
      <w:r>
        <w:rPr>
          <w:rFonts w:ascii="Segoe UI Symbol" w:hAnsi="Segoe UI Symbol"/>
          <w:color w:val="FF0000"/>
          <w:sz w:val="20"/>
        </w:rPr>
        <w:t>→</w:t>
      </w:r>
      <w:r>
        <w:rPr>
          <w:rFonts w:ascii="Segoe UI Symbol" w:hAnsi="Segoe UI Symbol"/>
          <w:color w:val="FF0000"/>
          <w:spacing w:val="-4"/>
          <w:sz w:val="20"/>
        </w:rPr>
        <w:t> </w:t>
      </w:r>
      <w:r>
        <w:rPr>
          <w:i/>
          <w:sz w:val="20"/>
        </w:rPr>
        <w:t>Informe</w:t>
      </w:r>
      <w:r>
        <w:rPr>
          <w:i/>
          <w:spacing w:val="-4"/>
          <w:sz w:val="20"/>
        </w:rPr>
        <w:t> </w:t>
      </w:r>
      <w:r>
        <w:rPr>
          <w:i/>
          <w:sz w:val="20"/>
        </w:rPr>
        <w:t>de</w:t>
      </w:r>
      <w:r>
        <w:rPr>
          <w:i/>
          <w:spacing w:val="-5"/>
          <w:sz w:val="20"/>
        </w:rPr>
        <w:t> </w:t>
      </w:r>
      <w:r>
        <w:rPr>
          <w:i/>
          <w:sz w:val="20"/>
        </w:rPr>
        <w:t>la</w:t>
      </w:r>
      <w:r>
        <w:rPr>
          <w:i/>
          <w:spacing w:val="-4"/>
          <w:sz w:val="20"/>
        </w:rPr>
        <w:t> </w:t>
      </w:r>
      <w:r>
        <w:rPr>
          <w:i/>
          <w:spacing w:val="-2"/>
          <w:sz w:val="20"/>
        </w:rPr>
        <w:t>auditoria</w:t>
      </w:r>
    </w:p>
    <w:p>
      <w:pPr>
        <w:spacing w:before="31"/>
        <w:ind w:left="963" w:right="0" w:firstLine="0"/>
        <w:jc w:val="left"/>
        <w:rPr>
          <w:i/>
          <w:sz w:val="20"/>
        </w:rPr>
      </w:pPr>
      <w:r>
        <w:rPr>
          <w:rFonts w:ascii="Segoe UI Symbol" w:hAnsi="Segoe UI Symbol"/>
          <w:color w:val="FF0000"/>
          <w:sz w:val="20"/>
        </w:rPr>
        <w:t>→</w:t>
      </w:r>
      <w:r>
        <w:rPr>
          <w:rFonts w:ascii="Segoe UI Symbol" w:hAnsi="Segoe UI Symbol"/>
          <w:color w:val="FF0000"/>
          <w:spacing w:val="-8"/>
          <w:sz w:val="20"/>
        </w:rPr>
        <w:t> </w:t>
      </w:r>
      <w:r>
        <w:rPr>
          <w:i/>
          <w:sz w:val="20"/>
        </w:rPr>
        <w:t>Principios</w:t>
      </w:r>
      <w:r>
        <w:rPr>
          <w:i/>
          <w:spacing w:val="-7"/>
          <w:sz w:val="20"/>
        </w:rPr>
        <w:t> </w:t>
      </w:r>
      <w:r>
        <w:rPr>
          <w:i/>
          <w:sz w:val="20"/>
        </w:rPr>
        <w:t>de</w:t>
      </w:r>
      <w:r>
        <w:rPr>
          <w:i/>
          <w:spacing w:val="-10"/>
          <w:sz w:val="20"/>
        </w:rPr>
        <w:t> </w:t>
      </w:r>
      <w:r>
        <w:rPr>
          <w:i/>
          <w:sz w:val="20"/>
        </w:rPr>
        <w:t>contabilidad</w:t>
      </w:r>
      <w:r>
        <w:rPr>
          <w:i/>
          <w:spacing w:val="-10"/>
          <w:sz w:val="20"/>
        </w:rPr>
        <w:t> </w:t>
      </w:r>
      <w:r>
        <w:rPr>
          <w:i/>
          <w:spacing w:val="-2"/>
          <w:sz w:val="20"/>
        </w:rPr>
        <w:t>aplicados</w:t>
      </w:r>
    </w:p>
    <w:p>
      <w:pPr>
        <w:spacing w:before="34"/>
        <w:ind w:left="963" w:right="0" w:firstLine="0"/>
        <w:jc w:val="left"/>
        <w:rPr>
          <w:i/>
          <w:sz w:val="20"/>
        </w:rPr>
      </w:pPr>
      <w:r>
        <w:rPr>
          <w:rFonts w:ascii="Segoe UI Symbol" w:hAnsi="Segoe UI Symbol"/>
          <w:color w:val="FF0000"/>
          <w:sz w:val="20"/>
        </w:rPr>
        <w:t>→</w:t>
      </w:r>
      <w:r>
        <w:rPr>
          <w:rFonts w:ascii="Segoe UI Symbol" w:hAnsi="Segoe UI Symbol"/>
          <w:color w:val="FF0000"/>
          <w:spacing w:val="-5"/>
          <w:sz w:val="20"/>
        </w:rPr>
        <w:t> </w:t>
      </w:r>
      <w:r>
        <w:rPr>
          <w:i/>
          <w:sz w:val="20"/>
        </w:rPr>
        <w:t>Estado</w:t>
      </w:r>
      <w:r>
        <w:rPr>
          <w:i/>
          <w:spacing w:val="-5"/>
          <w:sz w:val="20"/>
        </w:rPr>
        <w:t> </w:t>
      </w:r>
      <w:r>
        <w:rPr>
          <w:i/>
          <w:sz w:val="20"/>
        </w:rPr>
        <w:t>de</w:t>
      </w:r>
      <w:r>
        <w:rPr>
          <w:i/>
          <w:spacing w:val="-6"/>
          <w:sz w:val="20"/>
        </w:rPr>
        <w:t> </w:t>
      </w:r>
      <w:r>
        <w:rPr>
          <w:i/>
          <w:sz w:val="20"/>
        </w:rPr>
        <w:t>ingresos,</w:t>
      </w:r>
      <w:r>
        <w:rPr>
          <w:i/>
          <w:spacing w:val="-7"/>
          <w:sz w:val="20"/>
        </w:rPr>
        <w:t> </w:t>
      </w:r>
      <w:r>
        <w:rPr>
          <w:i/>
          <w:sz w:val="20"/>
        </w:rPr>
        <w:t>gastos,</w:t>
      </w:r>
      <w:r>
        <w:rPr>
          <w:i/>
          <w:spacing w:val="-6"/>
          <w:sz w:val="20"/>
        </w:rPr>
        <w:t> </w:t>
      </w:r>
      <w:r>
        <w:rPr>
          <w:i/>
          <w:sz w:val="20"/>
        </w:rPr>
        <w:t>activos</w:t>
      </w:r>
      <w:r>
        <w:rPr>
          <w:i/>
          <w:spacing w:val="-6"/>
          <w:sz w:val="20"/>
        </w:rPr>
        <w:t> </w:t>
      </w:r>
      <w:r>
        <w:rPr>
          <w:i/>
          <w:sz w:val="20"/>
        </w:rPr>
        <w:t>y</w:t>
      </w:r>
      <w:r>
        <w:rPr>
          <w:i/>
          <w:spacing w:val="-2"/>
          <w:sz w:val="20"/>
        </w:rPr>
        <w:t> pasivos</w:t>
      </w:r>
    </w:p>
    <w:p>
      <w:pPr>
        <w:spacing w:before="32"/>
        <w:ind w:left="963" w:right="0" w:firstLine="0"/>
        <w:jc w:val="left"/>
        <w:rPr>
          <w:i/>
          <w:sz w:val="20"/>
        </w:rPr>
      </w:pPr>
      <w:r>
        <w:rPr>
          <w:rFonts w:ascii="Segoe UI Symbol" w:hAnsi="Segoe UI Symbol"/>
          <w:color w:val="FF0000"/>
          <w:sz w:val="20"/>
        </w:rPr>
        <w:t>→</w:t>
      </w:r>
      <w:r>
        <w:rPr>
          <w:rFonts w:ascii="Segoe UI Symbol" w:hAnsi="Segoe UI Symbol"/>
          <w:color w:val="FF0000"/>
          <w:spacing w:val="-4"/>
          <w:sz w:val="20"/>
        </w:rPr>
        <w:t> </w:t>
      </w:r>
      <w:r>
        <w:rPr>
          <w:i/>
          <w:sz w:val="20"/>
        </w:rPr>
        <w:t>Listado</w:t>
      </w:r>
      <w:r>
        <w:rPr>
          <w:i/>
          <w:spacing w:val="-3"/>
          <w:sz w:val="20"/>
        </w:rPr>
        <w:t> </w:t>
      </w:r>
      <w:r>
        <w:rPr>
          <w:i/>
          <w:sz w:val="20"/>
        </w:rPr>
        <w:t>de</w:t>
      </w:r>
      <w:r>
        <w:rPr>
          <w:i/>
          <w:spacing w:val="-5"/>
          <w:sz w:val="20"/>
        </w:rPr>
        <w:t> </w:t>
      </w:r>
      <w:r>
        <w:rPr>
          <w:i/>
          <w:spacing w:val="-2"/>
          <w:sz w:val="20"/>
        </w:rPr>
        <w:t>activos</w:t>
      </w:r>
    </w:p>
    <w:p>
      <w:pPr>
        <w:spacing w:line="268" w:lineRule="auto" w:before="31"/>
        <w:ind w:left="963" w:right="905" w:firstLine="0"/>
        <w:jc w:val="left"/>
        <w:rPr>
          <w:i/>
          <w:sz w:val="20"/>
        </w:rPr>
      </w:pPr>
      <w:r>
        <w:rPr>
          <w:rFonts w:ascii="Segoe UI Symbol" w:hAnsi="Segoe UI Symbol"/>
          <w:color w:val="FF0000"/>
          <w:sz w:val="20"/>
        </w:rPr>
        <w:t>→ </w:t>
      </w:r>
      <w:r>
        <w:rPr>
          <w:i/>
          <w:sz w:val="20"/>
        </w:rPr>
        <w:t>Un resumen de los cálculos del tipo cambio de moneda y un cálculo del tipo de</w:t>
      </w:r>
      <w:r>
        <w:rPr>
          <w:i/>
          <w:sz w:val="20"/>
        </w:rPr>
        <w:t> cambio medio ponderado</w:t>
      </w:r>
    </w:p>
    <w:p>
      <w:pPr>
        <w:spacing w:before="2"/>
        <w:ind w:left="963" w:right="0" w:firstLine="0"/>
        <w:jc w:val="left"/>
        <w:rPr>
          <w:i/>
          <w:sz w:val="20"/>
        </w:rPr>
      </w:pPr>
      <w:r>
        <w:rPr>
          <w:rFonts w:ascii="Segoe UI Symbol" w:hAnsi="Segoe UI Symbol"/>
          <w:color w:val="FF0000"/>
          <w:sz w:val="20"/>
        </w:rPr>
        <w:t>→</w:t>
      </w:r>
      <w:r>
        <w:rPr>
          <w:rFonts w:ascii="Segoe UI Symbol" w:hAnsi="Segoe UI Symbol"/>
          <w:color w:val="FF0000"/>
          <w:spacing w:val="-7"/>
          <w:sz w:val="20"/>
        </w:rPr>
        <w:t> </w:t>
      </w:r>
      <w:r>
        <w:rPr>
          <w:i/>
          <w:sz w:val="20"/>
        </w:rPr>
        <w:t>Especificación</w:t>
      </w:r>
      <w:r>
        <w:rPr>
          <w:i/>
          <w:spacing w:val="-6"/>
          <w:sz w:val="20"/>
        </w:rPr>
        <w:t> </w:t>
      </w:r>
      <w:r>
        <w:rPr>
          <w:i/>
          <w:sz w:val="20"/>
        </w:rPr>
        <w:t>de</w:t>
      </w:r>
      <w:r>
        <w:rPr>
          <w:i/>
          <w:spacing w:val="-9"/>
          <w:sz w:val="20"/>
        </w:rPr>
        <w:t> </w:t>
      </w:r>
      <w:r>
        <w:rPr>
          <w:i/>
          <w:sz w:val="20"/>
        </w:rPr>
        <w:t>cualquier</w:t>
      </w:r>
      <w:r>
        <w:rPr>
          <w:i/>
          <w:spacing w:val="-8"/>
          <w:sz w:val="20"/>
        </w:rPr>
        <w:t> </w:t>
      </w:r>
      <w:r>
        <w:rPr>
          <w:i/>
          <w:sz w:val="20"/>
        </w:rPr>
        <w:t>fondo</w:t>
      </w:r>
      <w:r>
        <w:rPr>
          <w:i/>
          <w:spacing w:val="-6"/>
          <w:sz w:val="20"/>
        </w:rPr>
        <w:t> </w:t>
      </w:r>
      <w:r>
        <w:rPr>
          <w:i/>
          <w:sz w:val="20"/>
        </w:rPr>
        <w:t>no</w:t>
      </w:r>
      <w:r>
        <w:rPr>
          <w:i/>
          <w:spacing w:val="-8"/>
          <w:sz w:val="20"/>
        </w:rPr>
        <w:t> </w:t>
      </w:r>
      <w:r>
        <w:rPr>
          <w:i/>
          <w:spacing w:val="-2"/>
          <w:sz w:val="20"/>
        </w:rPr>
        <w:t>gastado</w:t>
      </w:r>
    </w:p>
    <w:p>
      <w:pPr>
        <w:spacing w:before="32"/>
        <w:ind w:left="963" w:right="0" w:firstLine="0"/>
        <w:jc w:val="left"/>
        <w:rPr>
          <w:i/>
          <w:sz w:val="20"/>
        </w:rPr>
      </w:pPr>
      <w:r>
        <w:rPr>
          <w:rFonts w:ascii="Segoe UI Symbol" w:hAnsi="Segoe UI Symbol"/>
          <w:color w:val="FF0000"/>
          <w:sz w:val="20"/>
        </w:rPr>
        <w:t>→</w:t>
      </w:r>
      <w:r>
        <w:rPr>
          <w:rFonts w:ascii="Segoe UI Symbol" w:hAnsi="Segoe UI Symbol"/>
          <w:color w:val="FF0000"/>
          <w:spacing w:val="-7"/>
          <w:sz w:val="20"/>
        </w:rPr>
        <w:t> </w:t>
      </w:r>
      <w:r>
        <w:rPr>
          <w:i/>
          <w:sz w:val="20"/>
        </w:rPr>
        <w:t>Estado</w:t>
      </w:r>
      <w:r>
        <w:rPr>
          <w:i/>
          <w:spacing w:val="-6"/>
          <w:sz w:val="20"/>
        </w:rPr>
        <w:t> </w:t>
      </w:r>
      <w:r>
        <w:rPr>
          <w:i/>
          <w:sz w:val="20"/>
        </w:rPr>
        <w:t>de</w:t>
      </w:r>
      <w:r>
        <w:rPr>
          <w:i/>
          <w:spacing w:val="-9"/>
          <w:sz w:val="20"/>
        </w:rPr>
        <w:t> </w:t>
      </w:r>
      <w:r>
        <w:rPr>
          <w:i/>
          <w:sz w:val="20"/>
        </w:rPr>
        <w:t>reembolso</w:t>
      </w:r>
      <w:r>
        <w:rPr>
          <w:i/>
          <w:spacing w:val="-7"/>
          <w:sz w:val="20"/>
        </w:rPr>
        <w:t> </w:t>
      </w:r>
      <w:r>
        <w:rPr>
          <w:i/>
          <w:sz w:val="20"/>
        </w:rPr>
        <w:t>de</w:t>
      </w:r>
      <w:r>
        <w:rPr>
          <w:i/>
          <w:spacing w:val="-7"/>
          <w:sz w:val="20"/>
        </w:rPr>
        <w:t> </w:t>
      </w:r>
      <w:r>
        <w:rPr>
          <w:i/>
          <w:sz w:val="20"/>
        </w:rPr>
        <w:t>intereses</w:t>
      </w:r>
      <w:r>
        <w:rPr>
          <w:i/>
          <w:spacing w:val="-6"/>
          <w:sz w:val="20"/>
        </w:rPr>
        <w:t> </w:t>
      </w:r>
      <w:r>
        <w:rPr>
          <w:i/>
          <w:sz w:val="20"/>
        </w:rPr>
        <w:t>devengados</w:t>
      </w:r>
      <w:r>
        <w:rPr>
          <w:i/>
          <w:spacing w:val="-7"/>
          <w:sz w:val="20"/>
        </w:rPr>
        <w:t> </w:t>
      </w:r>
      <w:r>
        <w:rPr>
          <w:i/>
          <w:sz w:val="20"/>
        </w:rPr>
        <w:t>en</w:t>
      </w:r>
      <w:r>
        <w:rPr>
          <w:i/>
          <w:spacing w:val="-9"/>
          <w:sz w:val="20"/>
        </w:rPr>
        <w:t> </w:t>
      </w:r>
      <w:r>
        <w:rPr>
          <w:i/>
          <w:sz w:val="20"/>
        </w:rPr>
        <w:t>cuentas</w:t>
      </w:r>
      <w:r>
        <w:rPr>
          <w:i/>
          <w:spacing w:val="-7"/>
          <w:sz w:val="20"/>
        </w:rPr>
        <w:t> </w:t>
      </w:r>
      <w:r>
        <w:rPr>
          <w:i/>
          <w:spacing w:val="-2"/>
          <w:sz w:val="20"/>
        </w:rPr>
        <w:t>bancarias</w:t>
      </w:r>
    </w:p>
    <w:p>
      <w:pPr>
        <w:spacing w:line="268" w:lineRule="auto" w:before="31"/>
        <w:ind w:left="963" w:right="0" w:firstLine="0"/>
        <w:jc w:val="left"/>
        <w:rPr>
          <w:i/>
          <w:sz w:val="20"/>
        </w:rPr>
      </w:pPr>
      <w:r>
        <w:rPr>
          <w:rFonts w:ascii="Segoe UI Symbol" w:hAnsi="Segoe UI Symbol"/>
          <w:color w:val="FF0000"/>
          <w:sz w:val="20"/>
        </w:rPr>
        <w:t>→</w:t>
      </w:r>
      <w:r>
        <w:rPr>
          <w:rFonts w:ascii="Segoe UI Symbol" w:hAnsi="Segoe UI Symbol"/>
          <w:color w:val="FF0000"/>
          <w:spacing w:val="31"/>
          <w:sz w:val="20"/>
        </w:rPr>
        <w:t> </w:t>
      </w:r>
      <w:r>
        <w:rPr>
          <w:i/>
          <w:sz w:val="20"/>
        </w:rPr>
        <w:t>Declaración</w:t>
      </w:r>
      <w:r>
        <w:rPr>
          <w:i/>
          <w:spacing w:val="30"/>
          <w:sz w:val="20"/>
        </w:rPr>
        <w:t> </w:t>
      </w:r>
      <w:r>
        <w:rPr>
          <w:i/>
          <w:sz w:val="20"/>
        </w:rPr>
        <w:t>de</w:t>
      </w:r>
      <w:r>
        <w:rPr>
          <w:i/>
          <w:spacing w:val="30"/>
          <w:sz w:val="20"/>
        </w:rPr>
        <w:t> </w:t>
      </w:r>
      <w:r>
        <w:rPr>
          <w:i/>
          <w:sz w:val="20"/>
        </w:rPr>
        <w:t>discrepancias,</w:t>
      </w:r>
      <w:r>
        <w:rPr>
          <w:i/>
          <w:spacing w:val="31"/>
          <w:sz w:val="20"/>
        </w:rPr>
        <w:t> </w:t>
      </w:r>
      <w:r>
        <w:rPr>
          <w:i/>
          <w:sz w:val="20"/>
        </w:rPr>
        <w:t>si</w:t>
      </w:r>
      <w:r>
        <w:rPr>
          <w:i/>
          <w:spacing w:val="30"/>
          <w:sz w:val="20"/>
        </w:rPr>
        <w:t> </w:t>
      </w:r>
      <w:r>
        <w:rPr>
          <w:i/>
          <w:sz w:val="20"/>
        </w:rPr>
        <w:t>las</w:t>
      </w:r>
      <w:r>
        <w:rPr>
          <w:i/>
          <w:spacing w:val="32"/>
          <w:sz w:val="20"/>
        </w:rPr>
        <w:t> </w:t>
      </w:r>
      <w:r>
        <w:rPr>
          <w:i/>
          <w:sz w:val="20"/>
        </w:rPr>
        <w:t>hay,</w:t>
      </w:r>
      <w:r>
        <w:rPr>
          <w:i/>
          <w:spacing w:val="31"/>
          <w:sz w:val="20"/>
        </w:rPr>
        <w:t> </w:t>
      </w:r>
      <w:r>
        <w:rPr>
          <w:i/>
          <w:sz w:val="20"/>
        </w:rPr>
        <w:t>entre</w:t>
      </w:r>
      <w:r>
        <w:rPr>
          <w:i/>
          <w:spacing w:val="31"/>
          <w:sz w:val="20"/>
        </w:rPr>
        <w:t> </w:t>
      </w:r>
      <w:r>
        <w:rPr>
          <w:i/>
          <w:sz w:val="20"/>
        </w:rPr>
        <w:t>los</w:t>
      </w:r>
      <w:r>
        <w:rPr>
          <w:i/>
          <w:spacing w:val="30"/>
          <w:sz w:val="20"/>
        </w:rPr>
        <w:t> </w:t>
      </w:r>
      <w:r>
        <w:rPr>
          <w:i/>
          <w:sz w:val="20"/>
        </w:rPr>
        <w:t>desembolsos</w:t>
      </w:r>
      <w:r>
        <w:rPr>
          <w:i/>
          <w:spacing w:val="30"/>
          <w:sz w:val="20"/>
        </w:rPr>
        <w:t> </w:t>
      </w:r>
      <w:r>
        <w:rPr>
          <w:i/>
          <w:sz w:val="20"/>
        </w:rPr>
        <w:t>reales</w:t>
      </w:r>
      <w:r>
        <w:rPr>
          <w:i/>
          <w:spacing w:val="30"/>
          <w:sz w:val="20"/>
        </w:rPr>
        <w:t> </w:t>
      </w:r>
      <w:r>
        <w:rPr>
          <w:i/>
          <w:sz w:val="20"/>
        </w:rPr>
        <w:t>y</w:t>
      </w:r>
      <w:r>
        <w:rPr>
          <w:i/>
          <w:spacing w:val="32"/>
          <w:sz w:val="20"/>
        </w:rPr>
        <w:t> </w:t>
      </w:r>
      <w:r>
        <w:rPr>
          <w:i/>
          <w:sz w:val="20"/>
        </w:rPr>
        <w:t>los</w:t>
      </w:r>
      <w:r>
        <w:rPr>
          <w:i/>
          <w:sz w:val="20"/>
        </w:rPr>
        <w:t> considerados en el presupuesto de la subvención</w:t>
      </w:r>
    </w:p>
    <w:p>
      <w:pPr>
        <w:spacing w:before="1"/>
        <w:ind w:left="963" w:right="0" w:firstLine="0"/>
        <w:jc w:val="left"/>
        <w:rPr>
          <w:i/>
          <w:sz w:val="20"/>
        </w:rPr>
      </w:pPr>
      <w:r>
        <w:rPr>
          <w:rFonts w:ascii="Segoe UI Symbol" w:hAnsi="Segoe UI Symbol"/>
          <w:color w:val="FF0000"/>
          <w:sz w:val="20"/>
        </w:rPr>
        <w:t>→</w:t>
      </w:r>
      <w:r>
        <w:rPr>
          <w:rFonts w:ascii="Segoe UI Symbol" w:hAnsi="Segoe UI Symbol"/>
          <w:color w:val="FF0000"/>
          <w:spacing w:val="-1"/>
          <w:sz w:val="20"/>
        </w:rPr>
        <w:t> </w:t>
      </w:r>
      <w:r>
        <w:rPr>
          <w:i/>
          <w:spacing w:val="-2"/>
          <w:sz w:val="20"/>
        </w:rPr>
        <w:t>Notas</w:t>
      </w:r>
    </w:p>
    <w:p>
      <w:pPr>
        <w:spacing w:before="32"/>
        <w:ind w:left="963" w:right="0" w:firstLine="0"/>
        <w:jc w:val="left"/>
        <w:rPr>
          <w:i/>
          <w:sz w:val="20"/>
        </w:rPr>
      </w:pPr>
      <w:r>
        <w:rPr>
          <w:rFonts w:ascii="Segoe UI Symbol" w:hAnsi="Segoe UI Symbol"/>
          <w:color w:val="FF0000"/>
          <w:sz w:val="20"/>
        </w:rPr>
        <w:t>→</w:t>
      </w:r>
      <w:r>
        <w:rPr>
          <w:rFonts w:ascii="Segoe UI Symbol" w:hAnsi="Segoe UI Symbol"/>
          <w:color w:val="FF0000"/>
          <w:spacing w:val="-5"/>
          <w:sz w:val="20"/>
        </w:rPr>
        <w:t> </w:t>
      </w:r>
      <w:r>
        <w:rPr>
          <w:i/>
          <w:sz w:val="20"/>
        </w:rPr>
        <w:t>Apéndices,</w:t>
      </w:r>
      <w:r>
        <w:rPr>
          <w:i/>
          <w:spacing w:val="-6"/>
          <w:sz w:val="20"/>
        </w:rPr>
        <w:t> </w:t>
      </w:r>
      <w:r>
        <w:rPr>
          <w:i/>
          <w:sz w:val="20"/>
        </w:rPr>
        <w:t>si</w:t>
      </w:r>
      <w:r>
        <w:rPr>
          <w:i/>
          <w:spacing w:val="-5"/>
          <w:sz w:val="20"/>
        </w:rPr>
        <w:t> </w:t>
      </w:r>
      <w:r>
        <w:rPr>
          <w:i/>
          <w:sz w:val="20"/>
        </w:rPr>
        <w:t>es</w:t>
      </w:r>
      <w:r>
        <w:rPr>
          <w:i/>
          <w:spacing w:val="-6"/>
          <w:sz w:val="20"/>
        </w:rPr>
        <w:t> </w:t>
      </w:r>
      <w:r>
        <w:rPr>
          <w:i/>
          <w:spacing w:val="-2"/>
          <w:sz w:val="20"/>
        </w:rPr>
        <w:t>relevante</w:t>
      </w:r>
    </w:p>
    <w:p>
      <w:pPr>
        <w:pStyle w:val="BodyText"/>
        <w:spacing w:before="3"/>
        <w:rPr>
          <w:i/>
          <w:sz w:val="25"/>
        </w:rPr>
      </w:pPr>
    </w:p>
    <w:p>
      <w:pPr>
        <w:pStyle w:val="BodyText"/>
        <w:spacing w:line="268" w:lineRule="auto"/>
        <w:ind w:left="963" w:right="869" w:hanging="10"/>
        <w:jc w:val="both"/>
      </w:pPr>
      <w:r>
        <w:rPr/>
        <w:t>La identificación de las cuentas deberá indicar claramente el nombre del EP, el nombre de la asociación de partidos y el período de contabilidad. La dirección del EP que, mediante sus firmas, certifica su contenido, avalará las cuentas finales </w:t>
      </w:r>
      <w:r>
        <w:rPr>
          <w:spacing w:val="-2"/>
        </w:rPr>
        <w:t>globales.</w:t>
      </w:r>
    </w:p>
    <w:p>
      <w:pPr>
        <w:pStyle w:val="BodyText"/>
        <w:spacing w:line="268" w:lineRule="auto" w:before="129"/>
        <w:ind w:left="963" w:right="867" w:hanging="10"/>
        <w:jc w:val="both"/>
      </w:pPr>
      <w:r>
        <w:rPr/>
        <w:t>NB:</w:t>
      </w:r>
      <w:r>
        <w:rPr>
          <w:spacing w:val="-6"/>
        </w:rPr>
        <w:t> </w:t>
      </w:r>
      <w:r>
        <w:rPr/>
        <w:t>Las</w:t>
      </w:r>
      <w:r>
        <w:rPr>
          <w:spacing w:val="-6"/>
        </w:rPr>
        <w:t> </w:t>
      </w:r>
      <w:r>
        <w:rPr/>
        <w:t>cuentas</w:t>
      </w:r>
      <w:r>
        <w:rPr>
          <w:spacing w:val="-6"/>
        </w:rPr>
        <w:t> </w:t>
      </w:r>
      <w:r>
        <w:rPr/>
        <w:t>del</w:t>
      </w:r>
      <w:r>
        <w:rPr>
          <w:spacing w:val="-7"/>
        </w:rPr>
        <w:t> </w:t>
      </w:r>
      <w:r>
        <w:rPr/>
        <w:t>socio</w:t>
      </w:r>
      <w:r>
        <w:rPr>
          <w:spacing w:val="-4"/>
        </w:rPr>
        <w:t> </w:t>
      </w:r>
      <w:r>
        <w:rPr/>
        <w:t>deben</w:t>
      </w:r>
      <w:r>
        <w:rPr>
          <w:spacing w:val="-7"/>
        </w:rPr>
        <w:t> </w:t>
      </w:r>
      <w:r>
        <w:rPr/>
        <w:t>estar</w:t>
      </w:r>
      <w:r>
        <w:rPr>
          <w:spacing w:val="-4"/>
        </w:rPr>
        <w:t> </w:t>
      </w:r>
      <w:r>
        <w:rPr/>
        <w:t>incorporadas</w:t>
      </w:r>
      <w:r>
        <w:rPr>
          <w:spacing w:val="-6"/>
        </w:rPr>
        <w:t> </w:t>
      </w:r>
      <w:r>
        <w:rPr/>
        <w:t>al</w:t>
      </w:r>
      <w:r>
        <w:rPr>
          <w:spacing w:val="-7"/>
        </w:rPr>
        <w:t> </w:t>
      </w:r>
      <w:r>
        <w:rPr/>
        <w:t>estado</w:t>
      </w:r>
      <w:r>
        <w:rPr>
          <w:spacing w:val="-7"/>
        </w:rPr>
        <w:t> </w:t>
      </w:r>
      <w:r>
        <w:rPr/>
        <w:t>y</w:t>
      </w:r>
      <w:r>
        <w:rPr>
          <w:spacing w:val="-5"/>
        </w:rPr>
        <w:t> </w:t>
      </w:r>
      <w:r>
        <w:rPr/>
        <w:t>las</w:t>
      </w:r>
      <w:r>
        <w:rPr>
          <w:spacing w:val="-6"/>
        </w:rPr>
        <w:t> </w:t>
      </w:r>
      <w:r>
        <w:rPr/>
        <w:t>cuentas</w:t>
      </w:r>
      <w:r>
        <w:rPr>
          <w:spacing w:val="-3"/>
        </w:rPr>
        <w:t> </w:t>
      </w:r>
      <w:r>
        <w:rPr/>
        <w:t>del</w:t>
      </w:r>
      <w:r>
        <w:rPr>
          <w:spacing w:val="-5"/>
        </w:rPr>
        <w:t> </w:t>
      </w:r>
      <w:r>
        <w:rPr/>
        <w:t>EP, y el informe deberá incluir una evaluación de la calidad del informe financiero y la capacidad contable del socio. Consulte la sección 2.6 (arriba) con respecto a los requisitos para la función de teneduría de libros y contabilidad. Los modelos de cuentas que cumplen los requisitos anteriores están disponibles en el anexo 7 (danés) y el anexo 8 (inglés).</w:t>
      </w:r>
    </w:p>
    <w:p>
      <w:pPr>
        <w:pStyle w:val="Heading3"/>
        <w:numPr>
          <w:ilvl w:val="2"/>
          <w:numId w:val="4"/>
        </w:numPr>
        <w:tabs>
          <w:tab w:pos="702" w:val="left" w:leader="none"/>
        </w:tabs>
        <w:spacing w:line="240" w:lineRule="auto" w:before="135" w:after="0"/>
        <w:ind w:left="702" w:right="0" w:hanging="600"/>
        <w:jc w:val="left"/>
      </w:pPr>
      <w:bookmarkStart w:name="_TOC_250002" w:id="31"/>
      <w:r>
        <w:rPr>
          <w:color w:val="FF0000"/>
        </w:rPr>
        <w:t>REQUISITOS</w:t>
      </w:r>
      <w:r>
        <w:rPr>
          <w:color w:val="FF0000"/>
          <w:spacing w:val="-6"/>
        </w:rPr>
        <w:t> </w:t>
      </w:r>
      <w:r>
        <w:rPr>
          <w:color w:val="FF0000"/>
        </w:rPr>
        <w:t>PARA</w:t>
      </w:r>
      <w:r>
        <w:rPr>
          <w:color w:val="FF0000"/>
          <w:spacing w:val="-5"/>
        </w:rPr>
        <w:t> </w:t>
      </w:r>
      <w:r>
        <w:rPr>
          <w:color w:val="FF0000"/>
        </w:rPr>
        <w:t>LA</w:t>
      </w:r>
      <w:r>
        <w:rPr>
          <w:color w:val="FF0000"/>
          <w:spacing w:val="-7"/>
        </w:rPr>
        <w:t> </w:t>
      </w:r>
      <w:bookmarkEnd w:id="31"/>
      <w:r>
        <w:rPr>
          <w:color w:val="FF0000"/>
          <w:spacing w:val="-2"/>
        </w:rPr>
        <w:t>AUDITORÍA</w:t>
      </w:r>
    </w:p>
    <w:p>
      <w:pPr>
        <w:pStyle w:val="BodyText"/>
        <w:spacing w:line="268" w:lineRule="auto" w:before="159"/>
        <w:ind w:left="963" w:right="863" w:hanging="10"/>
        <w:jc w:val="both"/>
      </w:pPr>
      <w:r>
        <w:rPr/>
        <w:t>Se recomienda hacer un acuerdo entre el EP y el auditor antes del comienzo de la asociación entre los partidos. El auditor puede aportar orientación y consejos a los empleados que participen en la asociación acerca de la contabilidad los procedimientos etc. Además, el auditor será también quien audite las cuentas anuales de la asociación de partidos.</w:t>
      </w:r>
    </w:p>
    <w:p>
      <w:pPr>
        <w:pStyle w:val="BodyText"/>
        <w:spacing w:line="268" w:lineRule="auto" w:before="133"/>
        <w:ind w:left="963" w:right="862" w:hanging="10"/>
        <w:jc w:val="both"/>
      </w:pPr>
      <w:r>
        <w:rPr/>
        <w:pict>
          <v:line style="position:absolute;mso-position-horizontal-relative:page;mso-position-vertical-relative:paragraph;z-index:15746048" from="345.899994pt,86.18988pt" to="483.549994pt,86.18988pt" stroked="true" strokeweight=".96pt" strokecolor="#000000">
            <v:stroke dashstyle="shortdot"/>
            <w10:wrap type="none"/>
          </v:line>
        </w:pict>
      </w:r>
      <w:r>
        <w:rPr/>
        <w:t>La declaración financiera puede prepararse como un ‘Apéndice a la declaración’, por ejemplo, las declaraciones financieras cubren la situación financiera de la organización al completo, pero se aporta información específica de los ingresos y</w:t>
      </w:r>
    </w:p>
    <w:p>
      <w:pPr>
        <w:spacing w:after="0" w:line="268" w:lineRule="auto"/>
        <w:jc w:val="both"/>
        <w:sectPr>
          <w:headerReference w:type="default" r:id="rId51"/>
          <w:footerReference w:type="default" r:id="rId52"/>
          <w:pgSz w:w="11910" w:h="16850"/>
          <w:pgMar w:header="718" w:footer="843" w:top="940" w:bottom="1040" w:left="1300" w:right="1400"/>
        </w:sectPr>
      </w:pPr>
    </w:p>
    <w:p>
      <w:pPr>
        <w:pStyle w:val="BodyText"/>
      </w:pPr>
    </w:p>
    <w:p>
      <w:pPr>
        <w:pStyle w:val="BodyText"/>
      </w:pPr>
    </w:p>
    <w:p>
      <w:pPr>
        <w:pStyle w:val="BodyText"/>
        <w:spacing w:before="2"/>
        <w:rPr>
          <w:sz w:val="21"/>
        </w:rPr>
      </w:pPr>
    </w:p>
    <w:p>
      <w:pPr>
        <w:pStyle w:val="BodyText"/>
        <w:spacing w:line="271" w:lineRule="auto" w:before="93"/>
        <w:ind w:left="963" w:right="866"/>
        <w:jc w:val="both"/>
      </w:pPr>
      <w:r>
        <w:rPr/>
        <w:t>los gastos en una sección separada, en notas o apéndices a la declaración financiera general.</w:t>
      </w:r>
    </w:p>
    <w:p>
      <w:pPr>
        <w:pStyle w:val="BodyText"/>
        <w:spacing w:line="268" w:lineRule="auto" w:before="124"/>
        <w:ind w:left="963" w:right="861" w:hanging="10"/>
        <w:jc w:val="both"/>
      </w:pPr>
      <w:r>
        <w:rPr/>
        <w:t>Las cuentas llevarán una nota que indique que la auditoría se lleva a cabo respetando las normas internacionales (ISSAI 100 - Principios fundamentales de auditoría del sector público e ISSAI 200 - Principios fundamentales de auditoría financiera). Se espera que el auditor examine si los controles internos están </w:t>
      </w:r>
      <w:r>
        <w:rPr>
          <w:spacing w:val="-2"/>
        </w:rPr>
        <w:t>funcionando.</w:t>
      </w:r>
    </w:p>
    <w:p>
      <w:pPr>
        <w:pStyle w:val="BodyText"/>
        <w:spacing w:line="271" w:lineRule="auto" w:before="130"/>
        <w:ind w:left="963" w:right="868" w:hanging="10"/>
        <w:jc w:val="both"/>
      </w:pPr>
      <w:r>
        <w:rPr/>
        <w:t>La</w:t>
      </w:r>
      <w:r>
        <w:rPr>
          <w:spacing w:val="-1"/>
        </w:rPr>
        <w:t> </w:t>
      </w:r>
      <w:r>
        <w:rPr/>
        <w:t>formulación</w:t>
      </w:r>
      <w:r>
        <w:rPr>
          <w:spacing w:val="-1"/>
        </w:rPr>
        <w:t> </w:t>
      </w:r>
      <w:r>
        <w:rPr/>
        <w:t>de la conclusión</w:t>
      </w:r>
      <w:r>
        <w:rPr>
          <w:spacing w:val="-1"/>
        </w:rPr>
        <w:t> </w:t>
      </w:r>
      <w:r>
        <w:rPr/>
        <w:t>y declaración del auditor deberá ser comprensible, clara y completa. Cuando el auditor haga una calificación, deberá hacerlo con claridad. Al preparar la conclusión y la declaración, el auditor tendrá en cuenta los comentarios y declaraciones realizados en las cuentas del EP.</w:t>
      </w:r>
    </w:p>
    <w:p>
      <w:pPr>
        <w:pStyle w:val="BodyText"/>
        <w:spacing w:line="271" w:lineRule="auto" w:before="123"/>
        <w:ind w:left="963" w:right="868" w:hanging="10"/>
        <w:jc w:val="both"/>
      </w:pPr>
      <w:r>
        <w:rPr/>
        <w:t>Los socios y sus auditores deberán ser informados sobre los requisitos de la auditoría. El informe auditado del socio debe estar incluido como una base para la auditoría de todas las cuentas del auditor danés.</w:t>
      </w:r>
    </w:p>
    <w:p>
      <w:pPr>
        <w:pStyle w:val="BodyText"/>
        <w:spacing w:line="268" w:lineRule="auto" w:before="122"/>
        <w:ind w:left="963" w:right="858" w:hanging="10"/>
        <w:jc w:val="both"/>
      </w:pPr>
      <w:r>
        <w:rPr/>
        <w:t>En la auditoría se examinará si las cuentas de la colaboración son verdaderas y justas y si las transacciones cubiertas por el informe siguen lo acordado para esta subvención, los acuerdos, contratos además de cualquier otra regulación relacionada con la administración de la subvención.</w:t>
      </w:r>
    </w:p>
    <w:p>
      <w:pPr>
        <w:pStyle w:val="BodyText"/>
        <w:spacing w:line="271" w:lineRule="auto" w:before="132"/>
        <w:ind w:left="954" w:right="859"/>
        <w:jc w:val="both"/>
      </w:pPr>
      <w:r>
        <w:rPr/>
        <w:t>El auditor debe examinar si la gestión de fondos en la asociación ha tomado las debidas consideraciones económicas. La auditoría debe hacerse a medida para cada colaboración de acuerdo con las actividades de esta, pero se debe realizar la siguiente verificación: Si se ha utilizado un sentido económico en relación con la adquisición de, por ejemplo, ordenadores, billetes de avión (clase económica), habitaciones de hotel, alquiler de coches, etc. Para obtener directrices de auditoría detalladas, consulte el anexo 4.</w:t>
      </w:r>
    </w:p>
    <w:p>
      <w:pPr>
        <w:pStyle w:val="BodyText"/>
        <w:spacing w:line="271" w:lineRule="auto" w:before="118"/>
        <w:ind w:left="963" w:right="864" w:hanging="10"/>
        <w:jc w:val="both"/>
      </w:pPr>
      <w:r>
        <w:rPr/>
        <w:t>DIPD y </w:t>
      </w:r>
      <w:r>
        <w:rPr>
          <w:i/>
        </w:rPr>
        <w:t>The Royal Danish Auditor </w:t>
      </w:r>
      <w:r>
        <w:rPr/>
        <w:t>deben durante todo el período de contratación, así como en el período posterior de 5 años, tener acceso para llevar a cabo investigaciones del material, que es la base de las cuentas.</w:t>
      </w:r>
    </w:p>
    <w:p>
      <w:pPr>
        <w:pStyle w:val="BodyText"/>
        <w:spacing w:line="271" w:lineRule="auto" w:before="123"/>
        <w:ind w:left="963" w:right="858" w:hanging="10"/>
        <w:jc w:val="both"/>
      </w:pPr>
      <w:r>
        <w:rPr/>
        <w:t>Tanto DIPD, como la Oficina del Auditor General de Dinamarca, el Comité de Cuentas Públicas y el Ministerio de Asuntos Exteriores tienen derecho a solicitar toda la información relevante de la asociación. El personal de la asociación debe colaborar, brindar apoyo y permitir el acceso completo a las revisiones de la asociación, revisiones de documentos, análisis financiero, control de inventario, estado</w:t>
      </w:r>
      <w:r>
        <w:rPr>
          <w:spacing w:val="-14"/>
        </w:rPr>
        <w:t> </w:t>
      </w:r>
      <w:r>
        <w:rPr/>
        <w:t>de</w:t>
      </w:r>
      <w:r>
        <w:rPr>
          <w:spacing w:val="-14"/>
        </w:rPr>
        <w:t> </w:t>
      </w:r>
      <w:r>
        <w:rPr/>
        <w:t>la</w:t>
      </w:r>
      <w:r>
        <w:rPr>
          <w:spacing w:val="-14"/>
        </w:rPr>
        <w:t> </w:t>
      </w:r>
      <w:r>
        <w:rPr/>
        <w:t>cuenta,</w:t>
      </w:r>
      <w:r>
        <w:rPr>
          <w:spacing w:val="-14"/>
        </w:rPr>
        <w:t> </w:t>
      </w:r>
      <w:r>
        <w:rPr/>
        <w:t>distribución</w:t>
      </w:r>
      <w:r>
        <w:rPr>
          <w:spacing w:val="-14"/>
        </w:rPr>
        <w:t> </w:t>
      </w:r>
      <w:r>
        <w:rPr/>
        <w:t>de</w:t>
      </w:r>
      <w:r>
        <w:rPr>
          <w:spacing w:val="-14"/>
        </w:rPr>
        <w:t> </w:t>
      </w:r>
      <w:r>
        <w:rPr/>
        <w:t>fondos</w:t>
      </w:r>
      <w:r>
        <w:rPr>
          <w:spacing w:val="-14"/>
        </w:rPr>
        <w:t> </w:t>
      </w:r>
      <w:r>
        <w:rPr/>
        <w:t>en</w:t>
      </w:r>
      <w:r>
        <w:rPr>
          <w:spacing w:val="-14"/>
        </w:rPr>
        <w:t> </w:t>
      </w:r>
      <w:r>
        <w:rPr/>
        <w:t>relación</w:t>
      </w:r>
      <w:r>
        <w:rPr>
          <w:spacing w:val="-14"/>
        </w:rPr>
        <w:t> </w:t>
      </w:r>
      <w:r>
        <w:rPr/>
        <w:t>con</w:t>
      </w:r>
      <w:r>
        <w:rPr>
          <w:spacing w:val="-13"/>
        </w:rPr>
        <w:t> </w:t>
      </w:r>
      <w:r>
        <w:rPr/>
        <w:t>el</w:t>
      </w:r>
      <w:r>
        <w:rPr>
          <w:spacing w:val="-14"/>
        </w:rPr>
        <w:t> </w:t>
      </w:r>
      <w:r>
        <w:rPr/>
        <w:t>presupuesto</w:t>
      </w:r>
      <w:r>
        <w:rPr>
          <w:spacing w:val="-14"/>
        </w:rPr>
        <w:t> </w:t>
      </w:r>
      <w:r>
        <w:rPr/>
        <w:t>aprobado, </w:t>
      </w:r>
      <w:r>
        <w:rPr>
          <w:spacing w:val="-4"/>
        </w:rPr>
        <w:t>etc.</w:t>
      </w:r>
    </w:p>
    <w:p>
      <w:pPr>
        <w:pStyle w:val="BodyText"/>
        <w:spacing w:line="268" w:lineRule="auto" w:before="118"/>
        <w:ind w:left="963" w:right="867" w:hanging="10"/>
        <w:jc w:val="both"/>
      </w:pPr>
      <w:r>
        <w:rPr/>
        <w:t>Con respecto a la visita del EP, puede ser relevante organizar una reunión con el auditor del socio para asegurar que los requisitos de la auditoría pueden ser cumplidos. Con respecto al monitoreo de DIPD del uso de los fondos, puede considerarse necesario aplicar mecanismos de control de calidad.</w:t>
      </w:r>
    </w:p>
    <w:p>
      <w:pPr>
        <w:pStyle w:val="Heading2"/>
        <w:numPr>
          <w:ilvl w:val="1"/>
          <w:numId w:val="4"/>
        </w:numPr>
        <w:tabs>
          <w:tab w:pos="889" w:val="left" w:leader="none"/>
          <w:tab w:pos="890" w:val="left" w:leader="none"/>
        </w:tabs>
        <w:spacing w:line="240" w:lineRule="auto" w:before="132" w:after="0"/>
        <w:ind w:left="889" w:right="0" w:hanging="788"/>
        <w:jc w:val="left"/>
      </w:pPr>
      <w:bookmarkStart w:name="_TOC_250001" w:id="32"/>
      <w:r>
        <w:rPr>
          <w:color w:val="FF0000"/>
        </w:rPr>
        <w:t>NOTIFICAR</w:t>
      </w:r>
      <w:bookmarkEnd w:id="32"/>
      <w:r>
        <w:rPr>
          <w:color w:val="FF0000"/>
          <w:spacing w:val="-2"/>
        </w:rPr>
        <w:t> IRREGULARIDADES</w:t>
      </w:r>
    </w:p>
    <w:p>
      <w:pPr>
        <w:pStyle w:val="BodyText"/>
        <w:spacing w:line="268" w:lineRule="auto" w:before="186"/>
        <w:ind w:left="963" w:right="860" w:hanging="10"/>
        <w:jc w:val="both"/>
      </w:pPr>
      <w:r>
        <w:rPr/>
        <w:pict>
          <v:line style="position:absolute;mso-position-horizontal-relative:page;mso-position-vertical-relative:paragraph;z-index:15746560" from="111.949997pt,125.69989pt" to="249.499997pt,125.69989pt" stroked="true" strokeweight=".96pt" strokecolor="#000000">
            <v:stroke dashstyle="shortdot"/>
            <w10:wrap type="none"/>
          </v:line>
        </w:pict>
      </w:r>
      <w:r>
        <w:rPr/>
        <w:t>Es el deber de DIPD informar al Ministerio de Asuntos Exteriores de Dinamarca sobre</w:t>
      </w:r>
      <w:r>
        <w:rPr>
          <w:spacing w:val="-8"/>
        </w:rPr>
        <w:t> </w:t>
      </w:r>
      <w:r>
        <w:rPr/>
        <w:t>asuntos</w:t>
      </w:r>
      <w:r>
        <w:rPr>
          <w:spacing w:val="-7"/>
        </w:rPr>
        <w:t> </w:t>
      </w:r>
      <w:r>
        <w:rPr/>
        <w:t>relaciones</w:t>
      </w:r>
      <w:r>
        <w:rPr>
          <w:spacing w:val="-6"/>
        </w:rPr>
        <w:t> </w:t>
      </w:r>
      <w:r>
        <w:rPr/>
        <w:t>con</w:t>
      </w:r>
      <w:r>
        <w:rPr>
          <w:spacing w:val="-8"/>
        </w:rPr>
        <w:t> </w:t>
      </w:r>
      <w:r>
        <w:rPr/>
        <w:t>casos</w:t>
      </w:r>
      <w:r>
        <w:rPr>
          <w:spacing w:val="-7"/>
        </w:rPr>
        <w:t> </w:t>
      </w:r>
      <w:r>
        <w:rPr/>
        <w:t>de</w:t>
      </w:r>
      <w:r>
        <w:rPr>
          <w:spacing w:val="-8"/>
        </w:rPr>
        <w:t> </w:t>
      </w:r>
      <w:r>
        <w:rPr/>
        <w:t>fraude,</w:t>
      </w:r>
      <w:r>
        <w:rPr>
          <w:spacing w:val="-5"/>
        </w:rPr>
        <w:t> </w:t>
      </w:r>
      <w:r>
        <w:rPr/>
        <w:t>corrupción</w:t>
      </w:r>
      <w:r>
        <w:rPr>
          <w:spacing w:val="-8"/>
        </w:rPr>
        <w:t> </w:t>
      </w:r>
      <w:r>
        <w:rPr/>
        <w:t>o</w:t>
      </w:r>
      <w:r>
        <w:rPr>
          <w:spacing w:val="-6"/>
        </w:rPr>
        <w:t> </w:t>
      </w:r>
      <w:r>
        <w:rPr/>
        <w:t>mala gestión</w:t>
      </w:r>
      <w:r>
        <w:rPr>
          <w:spacing w:val="-6"/>
        </w:rPr>
        <w:t> </w:t>
      </w:r>
      <w:r>
        <w:rPr/>
        <w:t>financiera como se describe a continuación:</w:t>
      </w:r>
    </w:p>
    <w:p>
      <w:pPr>
        <w:spacing w:after="0" w:line="268" w:lineRule="auto"/>
        <w:jc w:val="both"/>
        <w:sectPr>
          <w:headerReference w:type="default" r:id="rId53"/>
          <w:footerReference w:type="default" r:id="rId54"/>
          <w:pgSz w:w="11910" w:h="16850"/>
          <w:pgMar w:header="718" w:footer="843" w:top="940" w:bottom="1040" w:left="1300" w:right="1400"/>
        </w:sectPr>
      </w:pPr>
    </w:p>
    <w:p>
      <w:pPr>
        <w:pStyle w:val="BodyText"/>
        <w:spacing w:line="271" w:lineRule="auto" w:before="182"/>
        <w:ind w:left="963" w:right="860" w:hanging="10"/>
        <w:jc w:val="both"/>
      </w:pPr>
      <w:r>
        <w:rPr/>
        <w:t>Se</w:t>
      </w:r>
      <w:r>
        <w:rPr>
          <w:spacing w:val="-7"/>
        </w:rPr>
        <w:t> </w:t>
      </w:r>
      <w:r>
        <w:rPr/>
        <w:t>debe</w:t>
      </w:r>
      <w:r>
        <w:rPr>
          <w:spacing w:val="-7"/>
        </w:rPr>
        <w:t> </w:t>
      </w:r>
      <w:r>
        <w:rPr/>
        <w:t>informar</w:t>
      </w:r>
      <w:r>
        <w:rPr>
          <w:spacing w:val="-6"/>
        </w:rPr>
        <w:t> </w:t>
      </w:r>
      <w:r>
        <w:rPr/>
        <w:t>de</w:t>
      </w:r>
      <w:r>
        <w:rPr>
          <w:spacing w:val="-3"/>
        </w:rPr>
        <w:t> </w:t>
      </w:r>
      <w:r>
        <w:rPr>
          <w:b/>
        </w:rPr>
        <w:t>cualquier</w:t>
      </w:r>
      <w:r>
        <w:rPr>
          <w:b/>
          <w:spacing w:val="-7"/>
        </w:rPr>
        <w:t> </w:t>
      </w:r>
      <w:r>
        <w:rPr>
          <w:b/>
        </w:rPr>
        <w:t>causa</w:t>
      </w:r>
      <w:r>
        <w:rPr>
          <w:b/>
          <w:spacing w:val="-5"/>
        </w:rPr>
        <w:t> </w:t>
      </w:r>
      <w:r>
        <w:rPr>
          <w:b/>
        </w:rPr>
        <w:t>probable</w:t>
      </w:r>
      <w:r>
        <w:rPr>
          <w:b/>
          <w:spacing w:val="-3"/>
        </w:rPr>
        <w:t> </w:t>
      </w:r>
      <w:r>
        <w:rPr/>
        <w:t>de</w:t>
      </w:r>
      <w:r>
        <w:rPr>
          <w:spacing w:val="-5"/>
        </w:rPr>
        <w:t> </w:t>
      </w:r>
      <w:r>
        <w:rPr/>
        <w:t>sospecha</w:t>
      </w:r>
      <w:r>
        <w:rPr>
          <w:spacing w:val="-7"/>
        </w:rPr>
        <w:t> </w:t>
      </w:r>
      <w:r>
        <w:rPr/>
        <w:t>de</w:t>
      </w:r>
      <w:r>
        <w:rPr>
          <w:spacing w:val="-7"/>
        </w:rPr>
        <w:t> </w:t>
      </w:r>
      <w:r>
        <w:rPr/>
        <w:t>fraude,</w:t>
      </w:r>
      <w:r>
        <w:rPr>
          <w:spacing w:val="-4"/>
        </w:rPr>
        <w:t> </w:t>
      </w:r>
      <w:r>
        <w:rPr/>
        <w:t>corrupción o</w:t>
      </w:r>
      <w:r>
        <w:rPr>
          <w:spacing w:val="-2"/>
        </w:rPr>
        <w:t> </w:t>
      </w:r>
      <w:r>
        <w:rPr/>
        <w:t>mala gestión</w:t>
      </w:r>
      <w:r>
        <w:rPr>
          <w:spacing w:val="-3"/>
        </w:rPr>
        <w:t> </w:t>
      </w:r>
      <w:r>
        <w:rPr/>
        <w:t>financiera</w:t>
      </w:r>
      <w:r>
        <w:rPr>
          <w:spacing w:val="-2"/>
        </w:rPr>
        <w:t> </w:t>
      </w:r>
      <w:r>
        <w:rPr/>
        <w:t>relacionada</w:t>
      </w:r>
      <w:r>
        <w:rPr>
          <w:spacing w:val="-3"/>
        </w:rPr>
        <w:t> </w:t>
      </w:r>
      <w:r>
        <w:rPr/>
        <w:t>con</w:t>
      </w:r>
      <w:r>
        <w:rPr>
          <w:spacing w:val="-2"/>
        </w:rPr>
        <w:t> </w:t>
      </w:r>
      <w:r>
        <w:rPr/>
        <w:t>la</w:t>
      </w:r>
      <w:r>
        <w:rPr>
          <w:spacing w:val="-2"/>
        </w:rPr>
        <w:t> </w:t>
      </w:r>
      <w:r>
        <w:rPr/>
        <w:t>administración</w:t>
      </w:r>
      <w:r>
        <w:rPr>
          <w:spacing w:val="-1"/>
        </w:rPr>
        <w:t> </w:t>
      </w:r>
      <w:r>
        <w:rPr/>
        <w:t>de</w:t>
      </w:r>
      <w:r>
        <w:rPr>
          <w:spacing w:val="-1"/>
        </w:rPr>
        <w:t> </w:t>
      </w:r>
      <w:r>
        <w:rPr/>
        <w:t>los</w:t>
      </w:r>
      <w:r>
        <w:rPr>
          <w:spacing w:val="-1"/>
        </w:rPr>
        <w:t> </w:t>
      </w:r>
      <w:r>
        <w:rPr/>
        <w:t>fondos de</w:t>
      </w:r>
      <w:r>
        <w:rPr>
          <w:spacing w:val="-3"/>
        </w:rPr>
        <w:t> </w:t>
      </w:r>
      <w:r>
        <w:rPr/>
        <w:t>DIPD.</w:t>
      </w:r>
    </w:p>
    <w:p>
      <w:pPr>
        <w:pStyle w:val="BodyText"/>
        <w:spacing w:line="271" w:lineRule="auto" w:before="124"/>
        <w:ind w:left="963" w:right="860" w:hanging="10"/>
        <w:jc w:val="both"/>
      </w:pPr>
      <w:r>
        <w:rPr/>
        <w:t>Esta obligación de informar DIPD también incluye la obligación de informar sobre casos</w:t>
      </w:r>
      <w:r>
        <w:rPr>
          <w:spacing w:val="-14"/>
        </w:rPr>
        <w:t> </w:t>
      </w:r>
      <w:r>
        <w:rPr/>
        <w:t>substanciales</w:t>
      </w:r>
      <w:r>
        <w:rPr>
          <w:spacing w:val="-14"/>
        </w:rPr>
        <w:t> </w:t>
      </w:r>
      <w:r>
        <w:rPr/>
        <w:t>de</w:t>
      </w:r>
      <w:r>
        <w:rPr>
          <w:spacing w:val="-14"/>
        </w:rPr>
        <w:t> </w:t>
      </w:r>
      <w:r>
        <w:rPr/>
        <w:t>irregularidades.</w:t>
      </w:r>
      <w:r>
        <w:rPr>
          <w:spacing w:val="-14"/>
        </w:rPr>
        <w:t> </w:t>
      </w:r>
      <w:r>
        <w:rPr/>
        <w:t>Esto</w:t>
      </w:r>
      <w:r>
        <w:rPr>
          <w:spacing w:val="-14"/>
        </w:rPr>
        <w:t> </w:t>
      </w:r>
      <w:r>
        <w:rPr/>
        <w:t>significa</w:t>
      </w:r>
      <w:r>
        <w:rPr>
          <w:spacing w:val="-14"/>
        </w:rPr>
        <w:t> </w:t>
      </w:r>
      <w:r>
        <w:rPr/>
        <w:t>que,</w:t>
      </w:r>
      <w:r>
        <w:rPr>
          <w:spacing w:val="-14"/>
        </w:rPr>
        <w:t> </w:t>
      </w:r>
      <w:r>
        <w:rPr/>
        <w:t>por</w:t>
      </w:r>
      <w:r>
        <w:rPr>
          <w:spacing w:val="-14"/>
        </w:rPr>
        <w:t> </w:t>
      </w:r>
      <w:r>
        <w:rPr/>
        <w:t>regla</w:t>
      </w:r>
      <w:r>
        <w:rPr>
          <w:spacing w:val="-14"/>
        </w:rPr>
        <w:t> </w:t>
      </w:r>
      <w:r>
        <w:rPr/>
        <w:t>general,</w:t>
      </w:r>
      <w:r>
        <w:rPr>
          <w:spacing w:val="-13"/>
        </w:rPr>
        <w:t> </w:t>
      </w:r>
      <w:r>
        <w:rPr/>
        <w:t>no</w:t>
      </w:r>
      <w:r>
        <w:rPr>
          <w:spacing w:val="-14"/>
        </w:rPr>
        <w:t> </w:t>
      </w:r>
      <w:r>
        <w:rPr/>
        <w:t>será relevante</w:t>
      </w:r>
      <w:r>
        <w:rPr>
          <w:spacing w:val="-14"/>
        </w:rPr>
        <w:t> </w:t>
      </w:r>
      <w:r>
        <w:rPr/>
        <w:t>notificar</w:t>
      </w:r>
      <w:r>
        <w:rPr>
          <w:spacing w:val="-13"/>
        </w:rPr>
        <w:t> </w:t>
      </w:r>
      <w:r>
        <w:rPr/>
        <w:t>casos</w:t>
      </w:r>
      <w:r>
        <w:rPr>
          <w:spacing w:val="-13"/>
        </w:rPr>
        <w:t> </w:t>
      </w:r>
      <w:r>
        <w:rPr/>
        <w:t>como</w:t>
      </w:r>
      <w:r>
        <w:rPr>
          <w:spacing w:val="-14"/>
        </w:rPr>
        <w:t> </w:t>
      </w:r>
      <w:r>
        <w:rPr/>
        <w:t>por</w:t>
      </w:r>
      <w:r>
        <w:rPr>
          <w:spacing w:val="-13"/>
        </w:rPr>
        <w:t> </w:t>
      </w:r>
      <w:r>
        <w:rPr/>
        <w:t>ejemplo</w:t>
      </w:r>
      <w:r>
        <w:rPr>
          <w:spacing w:val="-14"/>
        </w:rPr>
        <w:t> </w:t>
      </w:r>
      <w:r>
        <w:rPr/>
        <w:t>robo</w:t>
      </w:r>
      <w:r>
        <w:rPr>
          <w:spacing w:val="-12"/>
        </w:rPr>
        <w:t> </w:t>
      </w:r>
      <w:r>
        <w:rPr/>
        <w:t>o</w:t>
      </w:r>
      <w:r>
        <w:rPr>
          <w:spacing w:val="-14"/>
        </w:rPr>
        <w:t> </w:t>
      </w:r>
      <w:r>
        <w:rPr/>
        <w:t>robo</w:t>
      </w:r>
      <w:r>
        <w:rPr>
          <w:spacing w:val="-12"/>
        </w:rPr>
        <w:t> </w:t>
      </w:r>
      <w:r>
        <w:rPr/>
        <w:t>simple</w:t>
      </w:r>
      <w:r>
        <w:rPr>
          <w:spacing w:val="-14"/>
        </w:rPr>
        <w:t> </w:t>
      </w:r>
      <w:r>
        <w:rPr/>
        <w:t>cometido</w:t>
      </w:r>
      <w:r>
        <w:rPr>
          <w:spacing w:val="-14"/>
        </w:rPr>
        <w:t> </w:t>
      </w:r>
      <w:r>
        <w:rPr/>
        <w:t>por</w:t>
      </w:r>
      <w:r>
        <w:rPr>
          <w:spacing w:val="-13"/>
        </w:rPr>
        <w:t> </w:t>
      </w:r>
      <w:r>
        <w:rPr/>
        <w:t>terceros (no empleados de EP o socio), diferencias de efectivo menores no intencionales, liquidación / quiebra, falta de documentación por pequeñas cantidades, retrasos temporales en la contabilidad y otros retrasos temporales similares en procedimientos administrativos que no parecen reflejar una administración </w:t>
      </w:r>
      <w:r>
        <w:rPr>
          <w:spacing w:val="-2"/>
        </w:rPr>
        <w:t>irresponsable.</w:t>
      </w:r>
    </w:p>
    <w:p>
      <w:pPr>
        <w:pStyle w:val="BodyText"/>
        <w:spacing w:line="271" w:lineRule="auto" w:before="117"/>
        <w:ind w:left="963" w:right="864" w:hanging="10"/>
        <w:jc w:val="both"/>
      </w:pPr>
      <w:r>
        <w:rPr/>
        <w:t>Los incidentes causados por accidentes de</w:t>
      </w:r>
      <w:r>
        <w:rPr>
          <w:spacing w:val="-1"/>
        </w:rPr>
        <w:t> </w:t>
      </w:r>
      <w:r>
        <w:rPr/>
        <w:t>tráfico, incendios y desastres naturales o similares no deben ser reportados a menos que exista sospecha de intenciones deliberadas y malas intenciones detrás del incidente. Los incidentes relevantes deben ser atendidos sin demoras innecesarias e informados a DIPD una semana después de que las irregularidades hayan llegado a conocimiento del EP como máximo. En caso de duda sobre si informar o no, se debe consultar a DIPD.</w:t>
      </w:r>
    </w:p>
    <w:p>
      <w:pPr>
        <w:pStyle w:val="BodyText"/>
        <w:spacing w:line="271" w:lineRule="auto" w:before="118"/>
        <w:ind w:left="963" w:right="863" w:hanging="10"/>
        <w:jc w:val="both"/>
      </w:pPr>
      <w:r>
        <w:rPr/>
        <w:t>El</w:t>
      </w:r>
      <w:r>
        <w:rPr>
          <w:spacing w:val="-14"/>
        </w:rPr>
        <w:t> </w:t>
      </w:r>
      <w:r>
        <w:rPr/>
        <w:t>EP</w:t>
      </w:r>
      <w:r>
        <w:rPr>
          <w:spacing w:val="-14"/>
        </w:rPr>
        <w:t> </w:t>
      </w:r>
      <w:r>
        <w:rPr/>
        <w:t>debe</w:t>
      </w:r>
      <w:r>
        <w:rPr>
          <w:spacing w:val="-14"/>
        </w:rPr>
        <w:t> </w:t>
      </w:r>
      <w:r>
        <w:rPr/>
        <w:t>enviar</w:t>
      </w:r>
      <w:r>
        <w:rPr>
          <w:spacing w:val="-14"/>
        </w:rPr>
        <w:t> </w:t>
      </w:r>
      <w:r>
        <w:rPr/>
        <w:t>un</w:t>
      </w:r>
      <w:r>
        <w:rPr>
          <w:spacing w:val="-14"/>
        </w:rPr>
        <w:t> </w:t>
      </w:r>
      <w:r>
        <w:rPr/>
        <w:t>informe</w:t>
      </w:r>
      <w:r>
        <w:rPr>
          <w:spacing w:val="-14"/>
        </w:rPr>
        <w:t> </w:t>
      </w:r>
      <w:r>
        <w:rPr/>
        <w:t>sobre</w:t>
      </w:r>
      <w:r>
        <w:rPr>
          <w:spacing w:val="-14"/>
        </w:rPr>
        <w:t> </w:t>
      </w:r>
      <w:r>
        <w:rPr/>
        <w:t>el</w:t>
      </w:r>
      <w:r>
        <w:rPr>
          <w:spacing w:val="-14"/>
        </w:rPr>
        <w:t> </w:t>
      </w:r>
      <w:r>
        <w:rPr/>
        <w:t>caso</w:t>
      </w:r>
      <w:r>
        <w:rPr>
          <w:spacing w:val="-13"/>
        </w:rPr>
        <w:t> </w:t>
      </w:r>
      <w:r>
        <w:rPr/>
        <w:t>por</w:t>
      </w:r>
      <w:r>
        <w:rPr>
          <w:spacing w:val="-14"/>
        </w:rPr>
        <w:t> </w:t>
      </w:r>
      <w:r>
        <w:rPr/>
        <w:t>correo</w:t>
      </w:r>
      <w:r>
        <w:rPr>
          <w:spacing w:val="-14"/>
        </w:rPr>
        <w:t> </w:t>
      </w:r>
      <w:r>
        <w:rPr/>
        <w:t>electrónico</w:t>
      </w:r>
      <w:r>
        <w:rPr>
          <w:spacing w:val="-14"/>
        </w:rPr>
        <w:t> </w:t>
      </w:r>
      <w:r>
        <w:rPr/>
        <w:t>a</w:t>
      </w:r>
      <w:r>
        <w:rPr>
          <w:spacing w:val="-12"/>
        </w:rPr>
        <w:t> </w:t>
      </w:r>
      <w:r>
        <w:rPr/>
        <w:t>DIPD.</w:t>
      </w:r>
      <w:r>
        <w:rPr>
          <w:spacing w:val="-13"/>
        </w:rPr>
        <w:t> </w:t>
      </w:r>
      <w:r>
        <w:rPr/>
        <w:t>Se</w:t>
      </w:r>
      <w:r>
        <w:rPr>
          <w:spacing w:val="-14"/>
        </w:rPr>
        <w:t> </w:t>
      </w:r>
      <w:r>
        <w:rPr/>
        <w:t>solicita al EP que calcule una cantidad aproximada de los fondos que se sospeche haber perdido</w:t>
      </w:r>
      <w:r>
        <w:rPr>
          <w:spacing w:val="-14"/>
        </w:rPr>
        <w:t> </w:t>
      </w:r>
      <w:r>
        <w:rPr/>
        <w:t>en</w:t>
      </w:r>
      <w:r>
        <w:rPr>
          <w:spacing w:val="-14"/>
        </w:rPr>
        <w:t> </w:t>
      </w:r>
      <w:r>
        <w:rPr/>
        <w:t>el</w:t>
      </w:r>
      <w:r>
        <w:rPr>
          <w:spacing w:val="-14"/>
        </w:rPr>
        <w:t> </w:t>
      </w:r>
      <w:r>
        <w:rPr/>
        <w:t>incidente.</w:t>
      </w:r>
      <w:r>
        <w:rPr>
          <w:spacing w:val="-14"/>
        </w:rPr>
        <w:t> </w:t>
      </w:r>
      <w:r>
        <w:rPr/>
        <w:t>El</w:t>
      </w:r>
      <w:r>
        <w:rPr>
          <w:spacing w:val="-14"/>
        </w:rPr>
        <w:t> </w:t>
      </w:r>
      <w:r>
        <w:rPr/>
        <w:t>informe</w:t>
      </w:r>
      <w:r>
        <w:rPr>
          <w:spacing w:val="-14"/>
        </w:rPr>
        <w:t> </w:t>
      </w:r>
      <w:r>
        <w:rPr/>
        <w:t>debe</w:t>
      </w:r>
      <w:r>
        <w:rPr>
          <w:spacing w:val="-14"/>
        </w:rPr>
        <w:t> </w:t>
      </w:r>
      <w:r>
        <w:rPr/>
        <w:t>explicar</w:t>
      </w:r>
      <w:r>
        <w:rPr>
          <w:spacing w:val="-14"/>
        </w:rPr>
        <w:t> </w:t>
      </w:r>
      <w:r>
        <w:rPr/>
        <w:t>el</w:t>
      </w:r>
      <w:r>
        <w:rPr>
          <w:spacing w:val="-14"/>
        </w:rPr>
        <w:t> </w:t>
      </w:r>
      <w:r>
        <w:rPr/>
        <w:t>asunto</w:t>
      </w:r>
      <w:r>
        <w:rPr>
          <w:spacing w:val="-13"/>
        </w:rPr>
        <w:t> </w:t>
      </w:r>
      <w:r>
        <w:rPr/>
        <w:t>de</w:t>
      </w:r>
      <w:r>
        <w:rPr>
          <w:spacing w:val="-14"/>
        </w:rPr>
        <w:t> </w:t>
      </w:r>
      <w:r>
        <w:rPr/>
        <w:t>manera</w:t>
      </w:r>
      <w:r>
        <w:rPr>
          <w:spacing w:val="-14"/>
        </w:rPr>
        <w:t> </w:t>
      </w:r>
      <w:r>
        <w:rPr/>
        <w:t>clara</w:t>
      </w:r>
      <w:r>
        <w:rPr>
          <w:spacing w:val="-14"/>
        </w:rPr>
        <w:t> </w:t>
      </w:r>
      <w:r>
        <w:rPr/>
        <w:t>y</w:t>
      </w:r>
      <w:r>
        <w:rPr>
          <w:spacing w:val="-14"/>
        </w:rPr>
        <w:t> </w:t>
      </w:r>
      <w:r>
        <w:rPr/>
        <w:t>precisa, así como también explicar las acciones tomadas para investigar y / o rectificar el asunto. El informe se remitirá al Ministerio de Asuntos Exteriores.</w:t>
      </w:r>
    </w:p>
    <w:p>
      <w:pPr>
        <w:pStyle w:val="BodyText"/>
        <w:spacing w:line="271" w:lineRule="auto" w:before="122"/>
        <w:ind w:left="963" w:right="869" w:hanging="10"/>
        <w:jc w:val="both"/>
      </w:pPr>
      <w:r>
        <w:rPr/>
        <w:t>La carta enviada al Ministerio de Asuntos Exteriores será publicada por defecto en la página web del ministerio de Asuntos Exteriores.</w:t>
      </w:r>
    </w:p>
    <w:p>
      <w:pPr>
        <w:pStyle w:val="BodyText"/>
        <w:spacing w:before="124"/>
        <w:ind w:left="954"/>
        <w:jc w:val="both"/>
      </w:pPr>
      <w:r>
        <w:rPr/>
        <w:t>Existen</w:t>
      </w:r>
      <w:r>
        <w:rPr>
          <w:spacing w:val="-4"/>
        </w:rPr>
        <w:t> </w:t>
      </w:r>
      <w:r>
        <w:rPr/>
        <w:t>dos</w:t>
      </w:r>
      <w:r>
        <w:rPr>
          <w:spacing w:val="-5"/>
        </w:rPr>
        <w:t> </w:t>
      </w:r>
      <w:r>
        <w:rPr/>
        <w:t>formas</w:t>
      </w:r>
      <w:r>
        <w:rPr>
          <w:spacing w:val="-5"/>
        </w:rPr>
        <w:t> </w:t>
      </w:r>
      <w:r>
        <w:rPr/>
        <w:t>de</w:t>
      </w:r>
      <w:r>
        <w:rPr>
          <w:spacing w:val="-6"/>
        </w:rPr>
        <w:t> </w:t>
      </w:r>
      <w:r>
        <w:rPr/>
        <w:t>seguir</w:t>
      </w:r>
      <w:r>
        <w:rPr>
          <w:spacing w:val="-5"/>
        </w:rPr>
        <w:t> </w:t>
      </w:r>
      <w:r>
        <w:rPr/>
        <w:t>el</w:t>
      </w:r>
      <w:r>
        <w:rPr>
          <w:spacing w:val="-7"/>
        </w:rPr>
        <w:t> </w:t>
      </w:r>
      <w:r>
        <w:rPr>
          <w:spacing w:val="-4"/>
        </w:rPr>
        <w:t>caso:</w:t>
      </w:r>
    </w:p>
    <w:p>
      <w:pPr>
        <w:spacing w:line="271" w:lineRule="auto" w:before="154"/>
        <w:ind w:left="963" w:right="863" w:hanging="10"/>
        <w:jc w:val="both"/>
        <w:rPr>
          <w:i/>
          <w:sz w:val="20"/>
        </w:rPr>
      </w:pPr>
      <w:r>
        <w:rPr>
          <w:rFonts w:ascii="Segoe UI Symbol" w:hAnsi="Segoe UI Symbol"/>
          <w:color w:val="FF0000"/>
          <w:sz w:val="20"/>
        </w:rPr>
        <w:t>→</w:t>
      </w:r>
      <w:r>
        <w:rPr>
          <w:rFonts w:ascii="Segoe UI Symbol" w:hAnsi="Segoe UI Symbol"/>
          <w:color w:val="FF0000"/>
          <w:spacing w:val="-12"/>
          <w:sz w:val="20"/>
        </w:rPr>
        <w:t> </w:t>
      </w:r>
      <w:r>
        <w:rPr>
          <w:b/>
          <w:i/>
          <w:sz w:val="20"/>
        </w:rPr>
        <w:t>Enviar</w:t>
      </w:r>
      <w:r>
        <w:rPr>
          <w:b/>
          <w:i/>
          <w:spacing w:val="-14"/>
          <w:sz w:val="20"/>
        </w:rPr>
        <w:t> </w:t>
      </w:r>
      <w:r>
        <w:rPr>
          <w:b/>
          <w:i/>
          <w:sz w:val="20"/>
        </w:rPr>
        <w:t>un</w:t>
      </w:r>
      <w:r>
        <w:rPr>
          <w:b/>
          <w:i/>
          <w:spacing w:val="-13"/>
          <w:sz w:val="20"/>
        </w:rPr>
        <w:t> </w:t>
      </w:r>
      <w:r>
        <w:rPr>
          <w:b/>
          <w:i/>
          <w:sz w:val="20"/>
        </w:rPr>
        <w:t>informe</w:t>
      </w:r>
      <w:r>
        <w:rPr>
          <w:b/>
          <w:i/>
          <w:spacing w:val="-14"/>
          <w:sz w:val="20"/>
        </w:rPr>
        <w:t> </w:t>
      </w:r>
      <w:r>
        <w:rPr>
          <w:b/>
          <w:i/>
          <w:sz w:val="20"/>
        </w:rPr>
        <w:t>a</w:t>
      </w:r>
      <w:r>
        <w:rPr>
          <w:b/>
          <w:i/>
          <w:spacing w:val="-14"/>
          <w:sz w:val="20"/>
        </w:rPr>
        <w:t> </w:t>
      </w:r>
      <w:r>
        <w:rPr>
          <w:b/>
          <w:i/>
          <w:sz w:val="20"/>
        </w:rPr>
        <w:t>DIPD.</w:t>
      </w:r>
      <w:r>
        <w:rPr>
          <w:b/>
          <w:i/>
          <w:spacing w:val="-11"/>
          <w:sz w:val="20"/>
        </w:rPr>
        <w:t> </w:t>
      </w:r>
      <w:r>
        <w:rPr>
          <w:i/>
          <w:sz w:val="20"/>
        </w:rPr>
        <w:t>Esta</w:t>
      </w:r>
      <w:r>
        <w:rPr>
          <w:i/>
          <w:spacing w:val="-14"/>
          <w:sz w:val="20"/>
        </w:rPr>
        <w:t> </w:t>
      </w:r>
      <w:r>
        <w:rPr>
          <w:i/>
          <w:sz w:val="20"/>
        </w:rPr>
        <w:t>opción</w:t>
      </w:r>
      <w:r>
        <w:rPr>
          <w:i/>
          <w:spacing w:val="-14"/>
          <w:sz w:val="20"/>
        </w:rPr>
        <w:t> </w:t>
      </w:r>
      <w:r>
        <w:rPr>
          <w:i/>
          <w:sz w:val="20"/>
        </w:rPr>
        <w:t>es</w:t>
      </w:r>
      <w:r>
        <w:rPr>
          <w:i/>
          <w:spacing w:val="-13"/>
          <w:sz w:val="20"/>
        </w:rPr>
        <w:t> </w:t>
      </w:r>
      <w:r>
        <w:rPr>
          <w:i/>
          <w:sz w:val="20"/>
        </w:rPr>
        <w:t>escogida</w:t>
      </w:r>
      <w:r>
        <w:rPr>
          <w:i/>
          <w:spacing w:val="-12"/>
          <w:sz w:val="20"/>
        </w:rPr>
        <w:t> </w:t>
      </w:r>
      <w:r>
        <w:rPr>
          <w:i/>
          <w:sz w:val="20"/>
        </w:rPr>
        <w:t>cuando</w:t>
      </w:r>
      <w:r>
        <w:rPr>
          <w:i/>
          <w:spacing w:val="-12"/>
          <w:sz w:val="20"/>
        </w:rPr>
        <w:t> </w:t>
      </w:r>
      <w:r>
        <w:rPr>
          <w:i/>
          <w:sz w:val="20"/>
        </w:rPr>
        <w:t>hay</w:t>
      </w:r>
      <w:r>
        <w:rPr>
          <w:i/>
          <w:spacing w:val="-12"/>
          <w:sz w:val="20"/>
        </w:rPr>
        <w:t> </w:t>
      </w:r>
      <w:r>
        <w:rPr>
          <w:i/>
          <w:sz w:val="20"/>
        </w:rPr>
        <w:t>un</w:t>
      </w:r>
      <w:r>
        <w:rPr>
          <w:i/>
          <w:spacing w:val="-12"/>
          <w:sz w:val="20"/>
        </w:rPr>
        <w:t> </w:t>
      </w:r>
      <w:r>
        <w:rPr>
          <w:i/>
          <w:sz w:val="20"/>
        </w:rPr>
        <w:t>nuevo</w:t>
      </w:r>
      <w:r>
        <w:rPr>
          <w:i/>
          <w:spacing w:val="-12"/>
          <w:sz w:val="20"/>
        </w:rPr>
        <w:t> </w:t>
      </w:r>
      <w:r>
        <w:rPr>
          <w:i/>
          <w:sz w:val="20"/>
        </w:rPr>
        <w:t>evento</w:t>
      </w:r>
      <w:r>
        <w:rPr>
          <w:i/>
          <w:sz w:val="20"/>
        </w:rPr>
        <w:t> del que informar acerca del desarrollo del incidente.</w:t>
      </w:r>
    </w:p>
    <w:p>
      <w:pPr>
        <w:spacing w:line="268" w:lineRule="auto" w:before="124"/>
        <w:ind w:left="963" w:right="859" w:hanging="10"/>
        <w:jc w:val="both"/>
        <w:rPr>
          <w:i/>
          <w:sz w:val="20"/>
        </w:rPr>
      </w:pPr>
      <w:r>
        <w:rPr>
          <w:rFonts w:ascii="Segoe UI Symbol" w:hAnsi="Segoe UI Symbol"/>
          <w:color w:val="FF0000"/>
          <w:sz w:val="20"/>
        </w:rPr>
        <w:t>→ </w:t>
      </w:r>
      <w:r>
        <w:rPr>
          <w:b/>
          <w:i/>
          <w:sz w:val="20"/>
        </w:rPr>
        <w:t>Crear un ‘follow up note’ con DIPD. </w:t>
      </w:r>
      <w:r>
        <w:rPr>
          <w:i/>
          <w:sz w:val="20"/>
        </w:rPr>
        <w:t>Esta opción deber ser escogida si no ha</w:t>
      </w:r>
      <w:r>
        <w:rPr>
          <w:i/>
          <w:sz w:val="20"/>
        </w:rPr>
        <w:t> habido un desarrollo substancial en el caso desde la última vez que se redactó un informe al respecto para DIPD. El ‘follow-up’ consiste en un escrito que contiene información sobre las acciones llevadas a cabo y los eventos que han ocurrido relacionados con el caso desde la última vez que se informó a DIPD.</w:t>
      </w:r>
    </w:p>
    <w:p>
      <w:pPr>
        <w:pStyle w:val="BodyText"/>
        <w:spacing w:line="268" w:lineRule="auto" w:before="133"/>
        <w:ind w:left="963" w:right="864" w:hanging="10"/>
        <w:jc w:val="both"/>
      </w:pPr>
      <w:r>
        <w:rPr/>
        <w:t>La</w:t>
      </w:r>
      <w:r>
        <w:rPr>
          <w:spacing w:val="-14"/>
        </w:rPr>
        <w:t> </w:t>
      </w:r>
      <w:r>
        <w:rPr/>
        <w:t>responsabilidad</w:t>
      </w:r>
      <w:r>
        <w:rPr>
          <w:spacing w:val="-14"/>
        </w:rPr>
        <w:t> </w:t>
      </w:r>
      <w:r>
        <w:rPr/>
        <w:t>de</w:t>
      </w:r>
      <w:r>
        <w:rPr>
          <w:spacing w:val="-14"/>
        </w:rPr>
        <w:t> </w:t>
      </w:r>
      <w:r>
        <w:rPr/>
        <w:t>documentar</w:t>
      </w:r>
      <w:r>
        <w:rPr>
          <w:spacing w:val="-14"/>
        </w:rPr>
        <w:t> </w:t>
      </w:r>
      <w:r>
        <w:rPr/>
        <w:t>y</w:t>
      </w:r>
      <w:r>
        <w:rPr>
          <w:spacing w:val="-14"/>
        </w:rPr>
        <w:t> </w:t>
      </w:r>
      <w:r>
        <w:rPr/>
        <w:t>enviar</w:t>
      </w:r>
      <w:r>
        <w:rPr>
          <w:spacing w:val="-14"/>
        </w:rPr>
        <w:t> </w:t>
      </w:r>
      <w:r>
        <w:rPr/>
        <w:t>informes</w:t>
      </w:r>
      <w:r>
        <w:rPr>
          <w:spacing w:val="-14"/>
        </w:rPr>
        <w:t> </w:t>
      </w:r>
      <w:r>
        <w:rPr/>
        <w:t>continuamente</w:t>
      </w:r>
      <w:r>
        <w:rPr>
          <w:spacing w:val="-14"/>
        </w:rPr>
        <w:t> </w:t>
      </w:r>
      <w:r>
        <w:rPr/>
        <w:t>y</w:t>
      </w:r>
      <w:r>
        <w:rPr>
          <w:spacing w:val="-14"/>
        </w:rPr>
        <w:t> </w:t>
      </w:r>
      <w:r>
        <w:rPr/>
        <w:t>al</w:t>
      </w:r>
      <w:r>
        <w:rPr>
          <w:spacing w:val="-13"/>
        </w:rPr>
        <w:t> </w:t>
      </w:r>
      <w:r>
        <w:rPr/>
        <w:t>menos</w:t>
      </w:r>
      <w:r>
        <w:rPr>
          <w:spacing w:val="-14"/>
        </w:rPr>
        <w:t> </w:t>
      </w:r>
      <w:r>
        <w:rPr/>
        <w:t>cada seis meses hasta que el caso se cierre es recae sobre el EP. El/Los informe/s y el ‘</w:t>
      </w:r>
      <w:r>
        <w:rPr>
          <w:i/>
        </w:rPr>
        <w:t>follow-up’ </w:t>
      </w:r>
      <w:r>
        <w:rPr/>
        <w:t>sirve como documentación del caso.</w:t>
      </w:r>
    </w:p>
    <w:p>
      <w:pPr>
        <w:pStyle w:val="BodyText"/>
        <w:rPr>
          <w:sz w:val="22"/>
        </w:rPr>
      </w:pPr>
    </w:p>
    <w:p>
      <w:pPr>
        <w:pStyle w:val="BodyText"/>
        <w:spacing w:before="9"/>
        <w:rPr>
          <w:sz w:val="23"/>
        </w:rPr>
      </w:pPr>
    </w:p>
    <w:p>
      <w:pPr>
        <w:pStyle w:val="Heading2"/>
        <w:numPr>
          <w:ilvl w:val="1"/>
          <w:numId w:val="4"/>
        </w:numPr>
        <w:tabs>
          <w:tab w:pos="915" w:val="left" w:leader="none"/>
          <w:tab w:pos="916" w:val="left" w:leader="none"/>
        </w:tabs>
        <w:spacing w:line="240" w:lineRule="auto" w:before="0" w:after="0"/>
        <w:ind w:left="915" w:right="0" w:hanging="814"/>
        <w:jc w:val="left"/>
      </w:pPr>
      <w:r>
        <w:rPr>
          <w:color w:val="FF0000"/>
        </w:rPr>
        <w:t>FINALIZACIÓN</w:t>
      </w:r>
      <w:r>
        <w:rPr>
          <w:color w:val="FF0000"/>
          <w:spacing w:val="-2"/>
        </w:rPr>
        <w:t> </w:t>
      </w:r>
      <w:r>
        <w:rPr>
          <w:color w:val="FF0000"/>
        </w:rPr>
        <w:t>DE</w:t>
      </w:r>
      <w:r>
        <w:rPr>
          <w:color w:val="FF0000"/>
          <w:spacing w:val="-2"/>
        </w:rPr>
        <w:t> </w:t>
      </w:r>
      <w:r>
        <w:rPr>
          <w:color w:val="FF0000"/>
        </w:rPr>
        <w:t>LA</w:t>
      </w:r>
      <w:r>
        <w:rPr>
          <w:color w:val="FF0000"/>
          <w:spacing w:val="-3"/>
        </w:rPr>
        <w:t> </w:t>
      </w:r>
      <w:r>
        <w:rPr>
          <w:color w:val="FF0000"/>
          <w:spacing w:val="-2"/>
        </w:rPr>
        <w:t>COLABORACIÓN</w:t>
      </w:r>
    </w:p>
    <w:p>
      <w:pPr>
        <w:pStyle w:val="BodyText"/>
        <w:spacing w:line="268" w:lineRule="auto" w:before="187"/>
        <w:ind w:left="963" w:right="858" w:hanging="10"/>
        <w:jc w:val="both"/>
      </w:pPr>
      <w:r>
        <w:rPr/>
        <w:t>Como parte del proceso de finalización de la asociación</w:t>
      </w:r>
      <w:r>
        <w:rPr>
          <w:spacing w:val="-2"/>
        </w:rPr>
        <w:t> </w:t>
      </w:r>
      <w:r>
        <w:rPr/>
        <w:t>entre partidos, </w:t>
      </w:r>
      <w:r>
        <w:rPr>
          <w:b/>
        </w:rPr>
        <w:t>los fondos que no hayan sido utilizados, </w:t>
      </w:r>
      <w:r>
        <w:rPr/>
        <w:t>(intereses devengados y cualquier ganancia del cambio</w:t>
      </w:r>
      <w:r>
        <w:rPr>
          <w:spacing w:val="-14"/>
        </w:rPr>
        <w:t> </w:t>
      </w:r>
      <w:r>
        <w:rPr/>
        <w:t>de</w:t>
      </w:r>
      <w:r>
        <w:rPr>
          <w:spacing w:val="-14"/>
        </w:rPr>
        <w:t> </w:t>
      </w:r>
      <w:r>
        <w:rPr/>
        <w:t>moneda</w:t>
      </w:r>
      <w:r>
        <w:rPr>
          <w:spacing w:val="-14"/>
        </w:rPr>
        <w:t> </w:t>
      </w:r>
      <w:r>
        <w:rPr/>
        <w:t>incluidos,</w:t>
      </w:r>
      <w:r>
        <w:rPr>
          <w:spacing w:val="-14"/>
        </w:rPr>
        <w:t> </w:t>
      </w:r>
      <w:r>
        <w:rPr/>
        <w:t>deben</w:t>
      </w:r>
      <w:r>
        <w:rPr>
          <w:spacing w:val="-14"/>
        </w:rPr>
        <w:t> </w:t>
      </w:r>
      <w:r>
        <w:rPr/>
        <w:t>ser</w:t>
      </w:r>
      <w:r>
        <w:rPr>
          <w:spacing w:val="-14"/>
        </w:rPr>
        <w:t> </w:t>
      </w:r>
      <w:r>
        <w:rPr/>
        <w:t>devueltos</w:t>
      </w:r>
      <w:r>
        <w:rPr>
          <w:spacing w:val="-14"/>
        </w:rPr>
        <w:t> </w:t>
      </w:r>
      <w:r>
        <w:rPr/>
        <w:t>a</w:t>
      </w:r>
      <w:r>
        <w:rPr>
          <w:spacing w:val="-14"/>
        </w:rPr>
        <w:t> </w:t>
      </w:r>
      <w:r>
        <w:rPr/>
        <w:t>DIPD</w:t>
      </w:r>
      <w:r>
        <w:rPr>
          <w:spacing w:val="-14"/>
        </w:rPr>
        <w:t> </w:t>
      </w:r>
      <w:r>
        <w:rPr/>
        <w:t>a</w:t>
      </w:r>
      <w:r>
        <w:rPr>
          <w:spacing w:val="-13"/>
        </w:rPr>
        <w:t> </w:t>
      </w:r>
      <w:r>
        <w:rPr/>
        <w:t>continuación</w:t>
      </w:r>
      <w:r>
        <w:rPr>
          <w:spacing w:val="-14"/>
        </w:rPr>
        <w:t> </w:t>
      </w:r>
      <w:r>
        <w:rPr/>
        <w:t>del</w:t>
      </w:r>
      <w:r>
        <w:rPr>
          <w:spacing w:val="-14"/>
        </w:rPr>
        <w:t> </w:t>
      </w:r>
      <w:r>
        <w:rPr/>
        <w:t>informe financiero final.</w:t>
      </w:r>
    </w:p>
    <w:p>
      <w:pPr>
        <w:pStyle w:val="BodyText"/>
        <w:spacing w:line="268" w:lineRule="auto" w:before="131"/>
        <w:ind w:left="963" w:right="864" w:hanging="10"/>
        <w:jc w:val="both"/>
      </w:pPr>
      <w:r>
        <w:rPr/>
        <w:t>En el caso de </w:t>
      </w:r>
      <w:r>
        <w:rPr>
          <w:b/>
        </w:rPr>
        <w:t>inversiones y material</w:t>
      </w:r>
      <w:r>
        <w:rPr/>
        <w:t>, un ‘documento de transferencia’ debe ser preparado con el socio, con el que se realiza un acuerdo de como transferir esto. DIPD debe recibir una copia de ese documento.</w:t>
      </w:r>
    </w:p>
    <w:p>
      <w:pPr>
        <w:pStyle w:val="BodyText"/>
        <w:spacing w:line="268" w:lineRule="auto" w:before="130"/>
        <w:ind w:left="963" w:right="862" w:hanging="10"/>
        <w:jc w:val="both"/>
      </w:pPr>
      <w:r>
        <w:rPr/>
        <w:pict>
          <v:line style="position:absolute;mso-position-horizontal-relative:page;mso-position-vertical-relative:paragraph;z-index:15747072" from="345.899994pt,91.199875pt" to="483.549994pt,91.199875pt" stroked="true" strokeweight=".96pt" strokecolor="#000000">
            <v:stroke dashstyle="shortdot"/>
            <w10:wrap type="none"/>
          </v:line>
        </w:pict>
      </w:r>
      <w:r>
        <w:rPr/>
        <w:t>La </w:t>
      </w:r>
      <w:r>
        <w:rPr>
          <w:b/>
        </w:rPr>
        <w:t>fecha límite para entregar </w:t>
      </w:r>
      <w:r>
        <w:rPr/>
        <w:t>el informe final es 6 meses después de que la colaboración haya finalizado según se refleja en el documento de asociación.</w:t>
      </w:r>
    </w:p>
    <w:p>
      <w:pPr>
        <w:spacing w:after="0" w:line="268" w:lineRule="auto"/>
        <w:jc w:val="both"/>
        <w:sectPr>
          <w:headerReference w:type="default" r:id="rId55"/>
          <w:footerReference w:type="default" r:id="rId56"/>
          <w:pgSz w:w="11910" w:h="16850"/>
          <w:pgMar w:header="718" w:footer="843" w:top="940" w:bottom="1040" w:left="1300" w:right="1400"/>
        </w:sectPr>
      </w:pPr>
    </w:p>
    <w:p>
      <w:pPr>
        <w:pStyle w:val="BodyText"/>
      </w:pPr>
      <w:r>
        <w:rPr/>
        <w:pict>
          <v:line style="position:absolute;mso-position-horizontal-relative:page;mso-position-vertical-relative:page;z-index:15748096" from="111.949997pt,788.599976pt" to="249.499997pt,788.599976pt" stroked="true" strokeweight=".96pt" strokecolor="#000000">
            <v:stroke dashstyle="shortdot"/>
            <w10:wrap type="none"/>
          </v:line>
        </w:pict>
      </w:r>
    </w:p>
    <w:p>
      <w:pPr>
        <w:pStyle w:val="BodyText"/>
      </w:pPr>
    </w:p>
    <w:p>
      <w:pPr>
        <w:pStyle w:val="BodyText"/>
        <w:spacing w:before="6"/>
        <w:rPr>
          <w:sz w:val="22"/>
        </w:rPr>
      </w:pPr>
    </w:p>
    <w:p>
      <w:pPr>
        <w:pStyle w:val="Heading1"/>
        <w:numPr>
          <w:ilvl w:val="0"/>
          <w:numId w:val="4"/>
        </w:numPr>
        <w:tabs>
          <w:tab w:pos="1754" w:val="left" w:leader="none"/>
        </w:tabs>
        <w:spacing w:line="268" w:lineRule="auto" w:before="77" w:after="0"/>
        <w:ind w:left="963" w:right="3769" w:hanging="10"/>
        <w:jc w:val="left"/>
      </w:pPr>
      <w:bookmarkStart w:name="_TOC_250000" w:id="33"/>
      <w:r>
        <w:rPr>
          <w:color w:val="A6A6A6"/>
        </w:rPr>
        <w:t>ANEXOS</w:t>
      </w:r>
      <w:r>
        <w:rPr>
          <w:color w:val="A6A6A6"/>
          <w:spacing w:val="-35"/>
        </w:rPr>
        <w:t> </w:t>
      </w:r>
      <w:r>
        <w:rPr>
          <w:color w:val="A6A6A6"/>
        </w:rPr>
        <w:t>Y </w:t>
      </w:r>
      <w:bookmarkEnd w:id="33"/>
      <w:r>
        <w:rPr>
          <w:color w:val="A6A6A6"/>
          <w:spacing w:val="-2"/>
        </w:rPr>
        <w:t>FORMATOS</w:t>
      </w:r>
    </w:p>
    <w:p>
      <w:pPr>
        <w:pStyle w:val="BodyText"/>
        <w:ind w:left="939"/>
      </w:pPr>
      <w:r>
        <w:rPr/>
        <w:pict>
          <v:group style="width:130.5pt;height:13.6pt;mso-position-horizontal-relative:char;mso-position-vertical-relative:line" id="docshapegroup62" coordorigin="0,0" coordsize="2610,272">
            <v:shape style="position:absolute;left:0;top:0;width:2610;height:272" id="docshape63" coordorigin="0,0" coordsize="2610,272" path="m2609,0l0,0,0,7,0,271,2609,271,2609,7,2609,0xe" filled="true" fillcolor="#ff0000" stroked="false">
              <v:path arrowok="t"/>
              <v:fill type="solid"/>
            </v:shape>
          </v:group>
        </w:pict>
      </w:r>
      <w:r>
        <w:rPr/>
      </w:r>
    </w:p>
    <w:p>
      <w:pPr>
        <w:pStyle w:val="BodyText"/>
        <w:spacing w:before="10"/>
        <w:rPr>
          <w:sz w:val="12"/>
        </w:rPr>
      </w:pPr>
    </w:p>
    <w:p>
      <w:pPr>
        <w:pStyle w:val="BodyText"/>
        <w:spacing w:line="271" w:lineRule="auto" w:before="93"/>
        <w:ind w:left="963" w:right="812" w:hanging="10"/>
      </w:pPr>
      <w:r>
        <w:rPr/>
        <w:t>DIPD</w:t>
      </w:r>
      <w:r>
        <w:rPr>
          <w:spacing w:val="40"/>
        </w:rPr>
        <w:t> </w:t>
      </w:r>
      <w:r>
        <w:rPr/>
        <w:t>ha</w:t>
      </w:r>
      <w:r>
        <w:rPr>
          <w:spacing w:val="40"/>
        </w:rPr>
        <w:t> </w:t>
      </w:r>
      <w:r>
        <w:rPr/>
        <w:t>redactado</w:t>
      </w:r>
      <w:r>
        <w:rPr>
          <w:spacing w:val="40"/>
        </w:rPr>
        <w:t> </w:t>
      </w:r>
      <w:r>
        <w:rPr/>
        <w:t>una</w:t>
      </w:r>
      <w:r>
        <w:rPr>
          <w:spacing w:val="40"/>
        </w:rPr>
        <w:t> </w:t>
      </w:r>
      <w:r>
        <w:rPr/>
        <w:t>serie</w:t>
      </w:r>
      <w:r>
        <w:rPr>
          <w:spacing w:val="40"/>
        </w:rPr>
        <w:t> </w:t>
      </w:r>
      <w:r>
        <w:rPr/>
        <w:t>de</w:t>
      </w:r>
      <w:r>
        <w:rPr>
          <w:spacing w:val="40"/>
        </w:rPr>
        <w:t> </w:t>
      </w:r>
      <w:r>
        <w:rPr/>
        <w:t>anexos</w:t>
      </w:r>
      <w:r>
        <w:rPr>
          <w:spacing w:val="40"/>
        </w:rPr>
        <w:t> </w:t>
      </w:r>
      <w:r>
        <w:rPr/>
        <w:t>y</w:t>
      </w:r>
      <w:r>
        <w:rPr>
          <w:spacing w:val="40"/>
        </w:rPr>
        <w:t> </w:t>
      </w:r>
      <w:r>
        <w:rPr/>
        <w:t>formatos</w:t>
      </w:r>
      <w:r>
        <w:rPr>
          <w:spacing w:val="40"/>
        </w:rPr>
        <w:t> </w:t>
      </w:r>
      <w:r>
        <w:rPr/>
        <w:t>para</w:t>
      </w:r>
      <w:r>
        <w:rPr>
          <w:spacing w:val="40"/>
        </w:rPr>
        <w:t> </w:t>
      </w:r>
      <w:r>
        <w:rPr/>
        <w:t>complementar</w:t>
      </w:r>
      <w:r>
        <w:rPr>
          <w:spacing w:val="40"/>
        </w:rPr>
        <w:t> </w:t>
      </w:r>
      <w:r>
        <w:rPr/>
        <w:t>estas directrices. Están disponibles en la web de DIPD.</w:t>
      </w:r>
    </w:p>
    <w:p>
      <w:pPr>
        <w:pStyle w:val="BodyText"/>
        <w:spacing w:before="10"/>
        <w:rPr>
          <w:sz w:val="26"/>
        </w:rPr>
      </w:pPr>
    </w:p>
    <w:tbl>
      <w:tblPr>
        <w:tblW w:w="0" w:type="auto"/>
        <w:jc w:val="left"/>
        <w:tblInd w:w="10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086"/>
        <w:gridCol w:w="5918"/>
      </w:tblGrid>
      <w:tr>
        <w:trPr>
          <w:trHeight w:val="1473" w:hRule="atLeast"/>
        </w:trPr>
        <w:tc>
          <w:tcPr>
            <w:tcW w:w="1086" w:type="dxa"/>
            <w:tcBorders>
              <w:top w:val="single" w:sz="4" w:space="0" w:color="000000"/>
              <w:bottom w:val="dashSmallGap" w:sz="6" w:space="0" w:color="000000"/>
            </w:tcBorders>
          </w:tcPr>
          <w:p>
            <w:pPr>
              <w:pStyle w:val="TableParagraph"/>
              <w:spacing w:line="229" w:lineRule="exact"/>
              <w:ind w:left="21"/>
              <w:rPr>
                <w:sz w:val="20"/>
              </w:rPr>
            </w:pPr>
            <w:r>
              <w:rPr>
                <w:color w:val="585858"/>
                <w:sz w:val="20"/>
              </w:rPr>
              <w:t>Anexo</w:t>
            </w:r>
            <w:r>
              <w:rPr>
                <w:color w:val="585858"/>
                <w:spacing w:val="-7"/>
                <w:sz w:val="20"/>
              </w:rPr>
              <w:t> </w:t>
            </w:r>
            <w:r>
              <w:rPr>
                <w:color w:val="585858"/>
                <w:spacing w:val="-10"/>
                <w:sz w:val="20"/>
              </w:rPr>
              <w:t>1</w:t>
            </w:r>
          </w:p>
        </w:tc>
        <w:tc>
          <w:tcPr>
            <w:tcW w:w="5918" w:type="dxa"/>
            <w:tcBorders>
              <w:top w:val="single" w:sz="4" w:space="0" w:color="000000"/>
              <w:bottom w:val="dashSmallGap" w:sz="6" w:space="0" w:color="000000"/>
            </w:tcBorders>
          </w:tcPr>
          <w:p>
            <w:pPr>
              <w:pStyle w:val="TableParagraph"/>
              <w:spacing w:line="229" w:lineRule="exact"/>
              <w:ind w:left="333"/>
              <w:jc w:val="both"/>
              <w:rPr>
                <w:sz w:val="20"/>
              </w:rPr>
            </w:pPr>
            <w:r>
              <w:rPr>
                <w:color w:val="FF0000"/>
                <w:sz w:val="20"/>
              </w:rPr>
              <w:t>ACUERDO</w:t>
            </w:r>
            <w:r>
              <w:rPr>
                <w:color w:val="FF0000"/>
                <w:spacing w:val="-7"/>
                <w:sz w:val="20"/>
              </w:rPr>
              <w:t> </w:t>
            </w:r>
            <w:r>
              <w:rPr>
                <w:color w:val="FF0000"/>
                <w:sz w:val="20"/>
              </w:rPr>
              <w:t>ENTRE</w:t>
            </w:r>
            <w:r>
              <w:rPr>
                <w:color w:val="FF0000"/>
                <w:spacing w:val="-5"/>
                <w:sz w:val="20"/>
              </w:rPr>
              <w:t> </w:t>
            </w:r>
            <w:r>
              <w:rPr>
                <w:color w:val="FF0000"/>
                <w:sz w:val="20"/>
              </w:rPr>
              <w:t>SOCIO</w:t>
            </w:r>
            <w:r>
              <w:rPr>
                <w:color w:val="FF0000"/>
                <w:spacing w:val="-3"/>
                <w:sz w:val="20"/>
              </w:rPr>
              <w:t> </w:t>
            </w:r>
            <w:r>
              <w:rPr>
                <w:color w:val="FF0000"/>
                <w:sz w:val="20"/>
              </w:rPr>
              <w:t>DEL</w:t>
            </w:r>
            <w:r>
              <w:rPr>
                <w:color w:val="FF0000"/>
                <w:spacing w:val="-4"/>
                <w:sz w:val="20"/>
              </w:rPr>
              <w:t> </w:t>
            </w:r>
            <w:r>
              <w:rPr>
                <w:color w:val="FF0000"/>
                <w:sz w:val="20"/>
              </w:rPr>
              <w:t>ENCARGO</w:t>
            </w:r>
            <w:r>
              <w:rPr>
                <w:color w:val="FF0000"/>
                <w:spacing w:val="-2"/>
                <w:sz w:val="20"/>
              </w:rPr>
              <w:t> </w:t>
            </w:r>
            <w:r>
              <w:rPr>
                <w:color w:val="FF0000"/>
                <w:sz w:val="20"/>
              </w:rPr>
              <w:t>Y</w:t>
            </w:r>
            <w:r>
              <w:rPr>
                <w:color w:val="FF0000"/>
                <w:spacing w:val="-7"/>
                <w:sz w:val="20"/>
              </w:rPr>
              <w:t> </w:t>
            </w:r>
            <w:r>
              <w:rPr>
                <w:color w:val="FF0000"/>
                <w:sz w:val="20"/>
              </w:rPr>
              <w:t>EL</w:t>
            </w:r>
            <w:r>
              <w:rPr>
                <w:color w:val="FF0000"/>
                <w:spacing w:val="-6"/>
                <w:sz w:val="20"/>
              </w:rPr>
              <w:t> </w:t>
            </w:r>
            <w:r>
              <w:rPr>
                <w:color w:val="FF0000"/>
                <w:spacing w:val="-2"/>
                <w:sz w:val="20"/>
              </w:rPr>
              <w:t>SOCIO</w:t>
            </w:r>
          </w:p>
          <w:p>
            <w:pPr>
              <w:pStyle w:val="TableParagraph"/>
              <w:spacing w:line="259" w:lineRule="auto" w:before="100"/>
              <w:ind w:left="333" w:right="31"/>
              <w:jc w:val="both"/>
              <w:rPr>
                <w:sz w:val="18"/>
              </w:rPr>
            </w:pPr>
            <w:r>
              <w:rPr>
                <w:sz w:val="18"/>
              </w:rPr>
              <w:t>Este documento constituye el acuerdo vinculante con respecto a las disposiciones para la financiación entre los 2 socios de la asociación (el</w:t>
            </w:r>
            <w:r>
              <w:rPr>
                <w:spacing w:val="-13"/>
                <w:sz w:val="18"/>
              </w:rPr>
              <w:t> </w:t>
            </w:r>
            <w:r>
              <w:rPr>
                <w:sz w:val="18"/>
              </w:rPr>
              <w:t>partido</w:t>
            </w:r>
            <w:r>
              <w:rPr>
                <w:spacing w:val="-12"/>
                <w:sz w:val="18"/>
              </w:rPr>
              <w:t> </w:t>
            </w:r>
            <w:r>
              <w:rPr>
                <w:sz w:val="18"/>
              </w:rPr>
              <w:t>político</w:t>
            </w:r>
            <w:r>
              <w:rPr>
                <w:spacing w:val="-13"/>
                <w:sz w:val="18"/>
              </w:rPr>
              <w:t> </w:t>
            </w:r>
            <w:r>
              <w:rPr>
                <w:sz w:val="18"/>
              </w:rPr>
              <w:t>danés</w:t>
            </w:r>
            <w:r>
              <w:rPr>
                <w:spacing w:val="-12"/>
                <w:sz w:val="18"/>
              </w:rPr>
              <w:t> </w:t>
            </w:r>
            <w:r>
              <w:rPr>
                <w:sz w:val="18"/>
              </w:rPr>
              <w:t>y</w:t>
            </w:r>
            <w:r>
              <w:rPr>
                <w:spacing w:val="-13"/>
                <w:sz w:val="18"/>
              </w:rPr>
              <w:t> </w:t>
            </w:r>
            <w:r>
              <w:rPr>
                <w:sz w:val="18"/>
              </w:rPr>
              <w:t>su</w:t>
            </w:r>
            <w:r>
              <w:rPr>
                <w:spacing w:val="-13"/>
                <w:sz w:val="18"/>
              </w:rPr>
              <w:t> </w:t>
            </w:r>
            <w:r>
              <w:rPr>
                <w:sz w:val="18"/>
              </w:rPr>
              <w:t>socio).</w:t>
            </w:r>
            <w:r>
              <w:rPr>
                <w:spacing w:val="-12"/>
                <w:sz w:val="18"/>
              </w:rPr>
              <w:t> </w:t>
            </w:r>
            <w:r>
              <w:rPr>
                <w:sz w:val="18"/>
              </w:rPr>
              <w:t>Contiene</w:t>
            </w:r>
            <w:r>
              <w:rPr>
                <w:spacing w:val="-13"/>
                <w:sz w:val="18"/>
              </w:rPr>
              <w:t> </w:t>
            </w:r>
            <w:r>
              <w:rPr>
                <w:sz w:val="18"/>
              </w:rPr>
              <w:t>formulaciones</w:t>
            </w:r>
            <w:r>
              <w:rPr>
                <w:spacing w:val="-12"/>
                <w:sz w:val="18"/>
              </w:rPr>
              <w:t> </w:t>
            </w:r>
            <w:r>
              <w:rPr>
                <w:sz w:val="18"/>
              </w:rPr>
              <w:t>sobre</w:t>
            </w:r>
            <w:r>
              <w:rPr>
                <w:spacing w:val="-13"/>
                <w:sz w:val="18"/>
              </w:rPr>
              <w:t> </w:t>
            </w:r>
            <w:r>
              <w:rPr>
                <w:sz w:val="18"/>
              </w:rPr>
              <w:t>los principios</w:t>
            </w:r>
            <w:r>
              <w:rPr>
                <w:spacing w:val="-5"/>
                <w:sz w:val="18"/>
              </w:rPr>
              <w:t> </w:t>
            </w:r>
            <w:r>
              <w:rPr>
                <w:sz w:val="18"/>
              </w:rPr>
              <w:t>de</w:t>
            </w:r>
            <w:r>
              <w:rPr>
                <w:spacing w:val="-4"/>
                <w:sz w:val="18"/>
              </w:rPr>
              <w:t> </w:t>
            </w:r>
            <w:r>
              <w:rPr>
                <w:sz w:val="18"/>
              </w:rPr>
              <w:t>las</w:t>
            </w:r>
            <w:r>
              <w:rPr>
                <w:spacing w:val="-4"/>
                <w:sz w:val="18"/>
              </w:rPr>
              <w:t> </w:t>
            </w:r>
            <w:r>
              <w:rPr>
                <w:sz w:val="18"/>
              </w:rPr>
              <w:t>directrices</w:t>
            </w:r>
            <w:r>
              <w:rPr>
                <w:spacing w:val="-1"/>
                <w:sz w:val="18"/>
              </w:rPr>
              <w:t> </w:t>
            </w:r>
            <w:r>
              <w:rPr>
                <w:sz w:val="18"/>
              </w:rPr>
              <w:t>relacionados</w:t>
            </w:r>
            <w:r>
              <w:rPr>
                <w:spacing w:val="-4"/>
                <w:sz w:val="18"/>
              </w:rPr>
              <w:t> </w:t>
            </w:r>
            <w:r>
              <w:rPr>
                <w:sz w:val="18"/>
              </w:rPr>
              <w:t>con</w:t>
            </w:r>
            <w:r>
              <w:rPr>
                <w:spacing w:val="-3"/>
                <w:sz w:val="18"/>
              </w:rPr>
              <w:t> </w:t>
            </w:r>
            <w:r>
              <w:rPr>
                <w:sz w:val="18"/>
              </w:rPr>
              <w:t>la</w:t>
            </w:r>
            <w:r>
              <w:rPr>
                <w:spacing w:val="-4"/>
                <w:sz w:val="18"/>
              </w:rPr>
              <w:t> </w:t>
            </w:r>
            <w:r>
              <w:rPr>
                <w:sz w:val="18"/>
              </w:rPr>
              <w:t>gestión</w:t>
            </w:r>
            <w:r>
              <w:rPr>
                <w:spacing w:val="-5"/>
                <w:sz w:val="18"/>
              </w:rPr>
              <w:t> </w:t>
            </w:r>
            <w:r>
              <w:rPr>
                <w:sz w:val="18"/>
              </w:rPr>
              <w:t>de</w:t>
            </w:r>
            <w:r>
              <w:rPr>
                <w:spacing w:val="-4"/>
                <w:sz w:val="18"/>
              </w:rPr>
              <w:t> </w:t>
            </w:r>
            <w:r>
              <w:rPr>
                <w:sz w:val="18"/>
              </w:rPr>
              <w:t>los</w:t>
            </w:r>
            <w:r>
              <w:rPr>
                <w:spacing w:val="-1"/>
                <w:sz w:val="18"/>
              </w:rPr>
              <w:t> </w:t>
            </w:r>
            <w:r>
              <w:rPr>
                <w:spacing w:val="-2"/>
                <w:sz w:val="18"/>
              </w:rPr>
              <w:t>fondos.</w:t>
            </w:r>
          </w:p>
        </w:tc>
      </w:tr>
      <w:tr>
        <w:trPr>
          <w:trHeight w:val="1687" w:hRule="atLeast"/>
        </w:trPr>
        <w:tc>
          <w:tcPr>
            <w:tcW w:w="1086" w:type="dxa"/>
            <w:tcBorders>
              <w:top w:val="dashSmallGap" w:sz="6" w:space="0" w:color="000000"/>
              <w:bottom w:val="dashSmallGap" w:sz="6" w:space="0" w:color="000000"/>
            </w:tcBorders>
          </w:tcPr>
          <w:p>
            <w:pPr>
              <w:pStyle w:val="TableParagraph"/>
              <w:spacing w:line="229" w:lineRule="exact"/>
              <w:ind w:left="21"/>
              <w:rPr>
                <w:sz w:val="20"/>
              </w:rPr>
            </w:pPr>
            <w:r>
              <w:rPr>
                <w:color w:val="585858"/>
                <w:sz w:val="20"/>
              </w:rPr>
              <w:t>Anexo</w:t>
            </w:r>
            <w:r>
              <w:rPr>
                <w:color w:val="585858"/>
                <w:spacing w:val="-7"/>
                <w:sz w:val="20"/>
              </w:rPr>
              <w:t> </w:t>
            </w:r>
            <w:r>
              <w:rPr>
                <w:color w:val="585858"/>
                <w:spacing w:val="-10"/>
                <w:sz w:val="20"/>
              </w:rPr>
              <w:t>2</w:t>
            </w:r>
          </w:p>
        </w:tc>
        <w:tc>
          <w:tcPr>
            <w:tcW w:w="5918" w:type="dxa"/>
            <w:tcBorders>
              <w:top w:val="dashSmallGap" w:sz="6" w:space="0" w:color="000000"/>
              <w:bottom w:val="dashSmallGap" w:sz="6" w:space="0" w:color="000000"/>
            </w:tcBorders>
          </w:tcPr>
          <w:p>
            <w:pPr>
              <w:pStyle w:val="TableParagraph"/>
              <w:spacing w:line="247" w:lineRule="auto"/>
              <w:ind w:left="333" w:right="52"/>
              <w:jc w:val="both"/>
              <w:rPr>
                <w:sz w:val="20"/>
              </w:rPr>
            </w:pPr>
            <w:r>
              <w:rPr>
                <w:color w:val="FF0000"/>
                <w:sz w:val="20"/>
              </w:rPr>
              <w:t>ACUERDO</w:t>
            </w:r>
            <w:r>
              <w:rPr>
                <w:color w:val="FF0000"/>
                <w:spacing w:val="-7"/>
                <w:sz w:val="20"/>
              </w:rPr>
              <w:t> </w:t>
            </w:r>
            <w:r>
              <w:rPr>
                <w:color w:val="FF0000"/>
                <w:sz w:val="20"/>
              </w:rPr>
              <w:t>FINANCIERO</w:t>
            </w:r>
            <w:r>
              <w:rPr>
                <w:color w:val="FF0000"/>
                <w:spacing w:val="-5"/>
                <w:sz w:val="20"/>
              </w:rPr>
              <w:t> </w:t>
            </w:r>
            <w:r>
              <w:rPr>
                <w:color w:val="FF0000"/>
                <w:sz w:val="20"/>
              </w:rPr>
              <w:t>ENTRE</w:t>
            </w:r>
            <w:r>
              <w:rPr>
                <w:color w:val="FF0000"/>
                <w:spacing w:val="-7"/>
                <w:sz w:val="20"/>
              </w:rPr>
              <w:t> </w:t>
            </w:r>
            <w:r>
              <w:rPr>
                <w:color w:val="FF0000"/>
                <w:sz w:val="20"/>
              </w:rPr>
              <w:t>EL</w:t>
            </w:r>
            <w:r>
              <w:rPr>
                <w:color w:val="FF0000"/>
                <w:spacing w:val="-9"/>
                <w:sz w:val="20"/>
              </w:rPr>
              <w:t> </w:t>
            </w:r>
            <w:r>
              <w:rPr>
                <w:color w:val="FF0000"/>
                <w:sz w:val="20"/>
              </w:rPr>
              <w:t>SOCIO</w:t>
            </w:r>
            <w:r>
              <w:rPr>
                <w:color w:val="FF0000"/>
                <w:spacing w:val="-7"/>
                <w:sz w:val="20"/>
              </w:rPr>
              <w:t> </w:t>
            </w:r>
            <w:r>
              <w:rPr>
                <w:color w:val="FF0000"/>
                <w:sz w:val="20"/>
              </w:rPr>
              <w:t>DEL</w:t>
            </w:r>
            <w:r>
              <w:rPr>
                <w:color w:val="FF0000"/>
                <w:spacing w:val="-9"/>
                <w:sz w:val="20"/>
              </w:rPr>
              <w:t> </w:t>
            </w:r>
            <w:r>
              <w:rPr>
                <w:color w:val="FF0000"/>
                <w:sz w:val="20"/>
              </w:rPr>
              <w:t>ENCARGO Y EL SOCIO</w:t>
            </w:r>
          </w:p>
          <w:p>
            <w:pPr>
              <w:pStyle w:val="TableParagraph"/>
              <w:spacing w:line="259" w:lineRule="auto" w:before="96"/>
              <w:ind w:left="333" w:right="30"/>
              <w:jc w:val="both"/>
              <w:rPr>
                <w:sz w:val="18"/>
              </w:rPr>
            </w:pPr>
            <w:r>
              <w:rPr>
                <w:sz w:val="18"/>
              </w:rPr>
              <w:t>Este</w:t>
            </w:r>
            <w:r>
              <w:rPr>
                <w:spacing w:val="-12"/>
                <w:sz w:val="18"/>
              </w:rPr>
              <w:t> </w:t>
            </w:r>
            <w:r>
              <w:rPr>
                <w:sz w:val="18"/>
              </w:rPr>
              <w:t>formato</w:t>
            </w:r>
            <w:r>
              <w:rPr>
                <w:spacing w:val="-12"/>
                <w:sz w:val="18"/>
              </w:rPr>
              <w:t> </w:t>
            </w:r>
            <w:r>
              <w:rPr>
                <w:sz w:val="18"/>
              </w:rPr>
              <w:t>debe</w:t>
            </w:r>
            <w:r>
              <w:rPr>
                <w:spacing w:val="-12"/>
                <w:sz w:val="18"/>
              </w:rPr>
              <w:t> </w:t>
            </w:r>
            <w:r>
              <w:rPr>
                <w:sz w:val="18"/>
              </w:rPr>
              <w:t>ser</w:t>
            </w:r>
            <w:r>
              <w:rPr>
                <w:spacing w:val="-13"/>
                <w:sz w:val="18"/>
              </w:rPr>
              <w:t> </w:t>
            </w:r>
            <w:r>
              <w:rPr>
                <w:sz w:val="18"/>
              </w:rPr>
              <w:t>utilizado</w:t>
            </w:r>
            <w:r>
              <w:rPr>
                <w:spacing w:val="-12"/>
                <w:sz w:val="18"/>
              </w:rPr>
              <w:t> </w:t>
            </w:r>
            <w:r>
              <w:rPr>
                <w:sz w:val="18"/>
              </w:rPr>
              <w:t>para</w:t>
            </w:r>
            <w:r>
              <w:rPr>
                <w:spacing w:val="-12"/>
                <w:sz w:val="18"/>
              </w:rPr>
              <w:t> </w:t>
            </w:r>
            <w:r>
              <w:rPr>
                <w:sz w:val="18"/>
              </w:rPr>
              <w:t>formular</w:t>
            </w:r>
            <w:r>
              <w:rPr>
                <w:spacing w:val="-13"/>
                <w:sz w:val="18"/>
              </w:rPr>
              <w:t> </w:t>
            </w:r>
            <w:r>
              <w:rPr>
                <w:sz w:val="18"/>
              </w:rPr>
              <w:t>un</w:t>
            </w:r>
            <w:r>
              <w:rPr>
                <w:spacing w:val="-12"/>
                <w:sz w:val="18"/>
              </w:rPr>
              <w:t> </w:t>
            </w:r>
            <w:r>
              <w:rPr>
                <w:sz w:val="18"/>
              </w:rPr>
              <w:t>acuerdo</w:t>
            </w:r>
            <w:r>
              <w:rPr>
                <w:spacing w:val="-12"/>
                <w:sz w:val="18"/>
              </w:rPr>
              <w:t> </w:t>
            </w:r>
            <w:r>
              <w:rPr>
                <w:sz w:val="18"/>
              </w:rPr>
              <w:t>exacto</w:t>
            </w:r>
            <w:r>
              <w:rPr>
                <w:spacing w:val="-12"/>
                <w:sz w:val="18"/>
              </w:rPr>
              <w:t> </w:t>
            </w:r>
            <w:r>
              <w:rPr>
                <w:sz w:val="18"/>
              </w:rPr>
              <w:t>sobre el total de los fondos y las tasas que deben ser transferidas además de las fechas acordadas y las cantidades a transferir. También debe contener</w:t>
            </w:r>
            <w:r>
              <w:rPr>
                <w:spacing w:val="59"/>
                <w:sz w:val="18"/>
              </w:rPr>
              <w:t> </w:t>
            </w:r>
            <w:r>
              <w:rPr>
                <w:sz w:val="18"/>
              </w:rPr>
              <w:t>información</w:t>
            </w:r>
            <w:r>
              <w:rPr>
                <w:spacing w:val="60"/>
                <w:sz w:val="18"/>
              </w:rPr>
              <w:t> </w:t>
            </w:r>
            <w:r>
              <w:rPr>
                <w:sz w:val="18"/>
              </w:rPr>
              <w:t>sobre</w:t>
            </w:r>
            <w:r>
              <w:rPr>
                <w:spacing w:val="58"/>
                <w:sz w:val="18"/>
              </w:rPr>
              <w:t> </w:t>
            </w:r>
            <w:r>
              <w:rPr>
                <w:sz w:val="18"/>
              </w:rPr>
              <w:t>los</w:t>
            </w:r>
            <w:r>
              <w:rPr>
                <w:spacing w:val="60"/>
                <w:sz w:val="18"/>
              </w:rPr>
              <w:t> </w:t>
            </w:r>
            <w:r>
              <w:rPr>
                <w:sz w:val="18"/>
              </w:rPr>
              <w:t>detalles</w:t>
            </w:r>
            <w:r>
              <w:rPr>
                <w:spacing w:val="60"/>
                <w:sz w:val="18"/>
              </w:rPr>
              <w:t> </w:t>
            </w:r>
            <w:r>
              <w:rPr>
                <w:sz w:val="18"/>
              </w:rPr>
              <w:t>bancarios</w:t>
            </w:r>
            <w:r>
              <w:rPr>
                <w:spacing w:val="61"/>
                <w:sz w:val="18"/>
              </w:rPr>
              <w:t> </w:t>
            </w:r>
            <w:r>
              <w:rPr>
                <w:sz w:val="18"/>
              </w:rPr>
              <w:t>del</w:t>
            </w:r>
            <w:r>
              <w:rPr>
                <w:spacing w:val="60"/>
                <w:sz w:val="18"/>
              </w:rPr>
              <w:t> </w:t>
            </w:r>
            <w:r>
              <w:rPr>
                <w:sz w:val="18"/>
              </w:rPr>
              <w:t>Socio</w:t>
            </w:r>
            <w:r>
              <w:rPr>
                <w:spacing w:val="61"/>
                <w:sz w:val="18"/>
              </w:rPr>
              <w:t> </w:t>
            </w:r>
            <w:r>
              <w:rPr>
                <w:spacing w:val="-5"/>
                <w:sz w:val="18"/>
              </w:rPr>
              <w:t>del</w:t>
            </w:r>
          </w:p>
          <w:p>
            <w:pPr>
              <w:pStyle w:val="TableParagraph"/>
              <w:spacing w:line="203" w:lineRule="exact"/>
              <w:ind w:left="333"/>
              <w:rPr>
                <w:sz w:val="18"/>
              </w:rPr>
            </w:pPr>
            <w:r>
              <w:rPr>
                <w:spacing w:val="-2"/>
                <w:sz w:val="18"/>
              </w:rPr>
              <w:t>Encargo.</w:t>
            </w:r>
          </w:p>
        </w:tc>
      </w:tr>
      <w:tr>
        <w:trPr>
          <w:trHeight w:val="1713" w:hRule="atLeast"/>
        </w:trPr>
        <w:tc>
          <w:tcPr>
            <w:tcW w:w="1086" w:type="dxa"/>
            <w:tcBorders>
              <w:top w:val="dashSmallGap" w:sz="6" w:space="0" w:color="000000"/>
              <w:bottom w:val="dashSmallGap" w:sz="4" w:space="0" w:color="000000"/>
            </w:tcBorders>
          </w:tcPr>
          <w:p>
            <w:pPr>
              <w:pStyle w:val="TableParagraph"/>
              <w:spacing w:line="229" w:lineRule="exact"/>
              <w:ind w:left="21"/>
              <w:rPr>
                <w:sz w:val="20"/>
              </w:rPr>
            </w:pPr>
            <w:r>
              <w:rPr>
                <w:color w:val="585858"/>
                <w:sz w:val="20"/>
              </w:rPr>
              <w:t>Anexo</w:t>
            </w:r>
            <w:r>
              <w:rPr>
                <w:color w:val="585858"/>
                <w:spacing w:val="-7"/>
                <w:sz w:val="20"/>
              </w:rPr>
              <w:t> </w:t>
            </w:r>
            <w:r>
              <w:rPr>
                <w:color w:val="585858"/>
                <w:spacing w:val="-10"/>
                <w:sz w:val="20"/>
              </w:rPr>
              <w:t>3</w:t>
            </w:r>
          </w:p>
        </w:tc>
        <w:tc>
          <w:tcPr>
            <w:tcW w:w="5918" w:type="dxa"/>
            <w:tcBorders>
              <w:top w:val="dashSmallGap" w:sz="6" w:space="0" w:color="000000"/>
              <w:bottom w:val="dashSmallGap" w:sz="4" w:space="0" w:color="000000"/>
            </w:tcBorders>
          </w:tcPr>
          <w:p>
            <w:pPr>
              <w:pStyle w:val="TableParagraph"/>
              <w:spacing w:line="249" w:lineRule="auto"/>
              <w:ind w:left="333" w:right="1"/>
              <w:rPr>
                <w:sz w:val="20"/>
              </w:rPr>
            </w:pPr>
            <w:r>
              <w:rPr>
                <w:color w:val="FF0000"/>
                <w:sz w:val="20"/>
              </w:rPr>
              <w:t>DOCUMENTO</w:t>
            </w:r>
            <w:r>
              <w:rPr>
                <w:color w:val="FF0000"/>
                <w:spacing w:val="-8"/>
                <w:sz w:val="20"/>
              </w:rPr>
              <w:t> </w:t>
            </w:r>
            <w:r>
              <w:rPr>
                <w:color w:val="FF0000"/>
                <w:sz w:val="20"/>
              </w:rPr>
              <w:t>DE</w:t>
            </w:r>
            <w:r>
              <w:rPr>
                <w:color w:val="FF0000"/>
                <w:spacing w:val="-9"/>
                <w:sz w:val="20"/>
              </w:rPr>
              <w:t> </w:t>
            </w:r>
            <w:r>
              <w:rPr>
                <w:color w:val="FF0000"/>
                <w:sz w:val="20"/>
              </w:rPr>
              <w:t>TRANSFERENCIAS</w:t>
            </w:r>
            <w:r>
              <w:rPr>
                <w:color w:val="FF0000"/>
                <w:spacing w:val="-7"/>
                <w:sz w:val="20"/>
              </w:rPr>
              <w:t> </w:t>
            </w:r>
            <w:r>
              <w:rPr>
                <w:color w:val="FF0000"/>
                <w:sz w:val="20"/>
              </w:rPr>
              <w:t>ENTRE</w:t>
            </w:r>
            <w:r>
              <w:rPr>
                <w:color w:val="FF0000"/>
                <w:spacing w:val="-9"/>
                <w:sz w:val="20"/>
              </w:rPr>
              <w:t> </w:t>
            </w:r>
            <w:r>
              <w:rPr>
                <w:color w:val="FF0000"/>
                <w:sz w:val="20"/>
              </w:rPr>
              <w:t>EL</w:t>
            </w:r>
            <w:r>
              <w:rPr>
                <w:color w:val="FF0000"/>
                <w:spacing w:val="-9"/>
                <w:sz w:val="20"/>
              </w:rPr>
              <w:t> </w:t>
            </w:r>
            <w:r>
              <w:rPr>
                <w:color w:val="FF0000"/>
                <w:sz w:val="20"/>
              </w:rPr>
              <w:t>SOCIO DEL ENCARGO Y EL SOCIO</w:t>
            </w:r>
          </w:p>
          <w:p>
            <w:pPr>
              <w:pStyle w:val="TableParagraph"/>
              <w:spacing w:line="259" w:lineRule="auto" w:before="91"/>
              <w:ind w:left="333" w:right="29"/>
              <w:jc w:val="both"/>
              <w:rPr>
                <w:sz w:val="18"/>
              </w:rPr>
            </w:pPr>
            <w:r>
              <w:rPr>
                <w:sz w:val="18"/>
              </w:rPr>
              <w:t>Este</w:t>
            </w:r>
            <w:r>
              <w:rPr>
                <w:spacing w:val="-13"/>
                <w:sz w:val="18"/>
              </w:rPr>
              <w:t> </w:t>
            </w:r>
            <w:r>
              <w:rPr>
                <w:sz w:val="18"/>
              </w:rPr>
              <w:t>formato</w:t>
            </w:r>
            <w:r>
              <w:rPr>
                <w:spacing w:val="-12"/>
                <w:sz w:val="18"/>
              </w:rPr>
              <w:t> </w:t>
            </w:r>
            <w:r>
              <w:rPr>
                <w:sz w:val="18"/>
              </w:rPr>
              <w:t>debe</w:t>
            </w:r>
            <w:r>
              <w:rPr>
                <w:spacing w:val="-13"/>
                <w:sz w:val="18"/>
              </w:rPr>
              <w:t> </w:t>
            </w:r>
            <w:r>
              <w:rPr>
                <w:sz w:val="18"/>
              </w:rPr>
              <w:t>ser</w:t>
            </w:r>
            <w:r>
              <w:rPr>
                <w:spacing w:val="-12"/>
                <w:sz w:val="18"/>
              </w:rPr>
              <w:t> </w:t>
            </w:r>
            <w:r>
              <w:rPr>
                <w:sz w:val="18"/>
              </w:rPr>
              <w:t>utilizado</w:t>
            </w:r>
            <w:r>
              <w:rPr>
                <w:spacing w:val="-13"/>
                <w:sz w:val="18"/>
              </w:rPr>
              <w:t> </w:t>
            </w:r>
            <w:r>
              <w:rPr>
                <w:sz w:val="18"/>
              </w:rPr>
              <w:t>sólo</w:t>
            </w:r>
            <w:r>
              <w:rPr>
                <w:spacing w:val="-13"/>
                <w:sz w:val="18"/>
              </w:rPr>
              <w:t> </w:t>
            </w:r>
            <w:r>
              <w:rPr>
                <w:sz w:val="18"/>
              </w:rPr>
              <w:t>cuando</w:t>
            </w:r>
            <w:r>
              <w:rPr>
                <w:spacing w:val="-12"/>
                <w:sz w:val="18"/>
              </w:rPr>
              <w:t> </w:t>
            </w:r>
            <w:r>
              <w:rPr>
                <w:sz w:val="18"/>
              </w:rPr>
              <w:t>un</w:t>
            </w:r>
            <w:r>
              <w:rPr>
                <w:spacing w:val="-13"/>
                <w:sz w:val="18"/>
              </w:rPr>
              <w:t> </w:t>
            </w:r>
            <w:r>
              <w:rPr>
                <w:sz w:val="18"/>
              </w:rPr>
              <w:t>período</w:t>
            </w:r>
            <w:r>
              <w:rPr>
                <w:spacing w:val="-12"/>
                <w:sz w:val="18"/>
              </w:rPr>
              <w:t> </w:t>
            </w:r>
            <w:r>
              <w:rPr>
                <w:sz w:val="18"/>
              </w:rPr>
              <w:t>de</w:t>
            </w:r>
            <w:r>
              <w:rPr>
                <w:spacing w:val="-13"/>
                <w:sz w:val="18"/>
              </w:rPr>
              <w:t> </w:t>
            </w:r>
            <w:r>
              <w:rPr>
                <w:sz w:val="18"/>
              </w:rPr>
              <w:t>financiación del encargo llegue a su fin. Es un documento vinculante sobre el material</w:t>
            </w:r>
            <w:r>
              <w:rPr>
                <w:spacing w:val="-6"/>
                <w:sz w:val="18"/>
              </w:rPr>
              <w:t> </w:t>
            </w:r>
            <w:r>
              <w:rPr>
                <w:sz w:val="18"/>
              </w:rPr>
              <w:t>que</w:t>
            </w:r>
            <w:r>
              <w:rPr>
                <w:spacing w:val="-6"/>
                <w:sz w:val="18"/>
              </w:rPr>
              <w:t> </w:t>
            </w:r>
            <w:r>
              <w:rPr>
                <w:sz w:val="18"/>
              </w:rPr>
              <w:t>debe</w:t>
            </w:r>
            <w:r>
              <w:rPr>
                <w:spacing w:val="-8"/>
                <w:sz w:val="18"/>
              </w:rPr>
              <w:t> </w:t>
            </w:r>
            <w:r>
              <w:rPr>
                <w:sz w:val="18"/>
              </w:rPr>
              <w:t>ser</w:t>
            </w:r>
            <w:r>
              <w:rPr>
                <w:spacing w:val="-6"/>
                <w:sz w:val="18"/>
              </w:rPr>
              <w:t> </w:t>
            </w:r>
            <w:r>
              <w:rPr>
                <w:sz w:val="18"/>
              </w:rPr>
              <w:t>transferido</w:t>
            </w:r>
            <w:r>
              <w:rPr>
                <w:spacing w:val="-6"/>
                <w:sz w:val="18"/>
              </w:rPr>
              <w:t> </w:t>
            </w:r>
            <w:r>
              <w:rPr>
                <w:sz w:val="18"/>
              </w:rPr>
              <w:t>al</w:t>
            </w:r>
            <w:r>
              <w:rPr>
                <w:spacing w:val="-6"/>
                <w:sz w:val="18"/>
              </w:rPr>
              <w:t> </w:t>
            </w:r>
            <w:r>
              <w:rPr>
                <w:sz w:val="18"/>
              </w:rPr>
              <w:t>Socio.</w:t>
            </w:r>
            <w:r>
              <w:rPr>
                <w:spacing w:val="-6"/>
                <w:sz w:val="18"/>
              </w:rPr>
              <w:t> </w:t>
            </w:r>
            <w:r>
              <w:rPr>
                <w:sz w:val="18"/>
              </w:rPr>
              <w:t>El</w:t>
            </w:r>
            <w:r>
              <w:rPr>
                <w:spacing w:val="-6"/>
                <w:sz w:val="18"/>
              </w:rPr>
              <w:t> </w:t>
            </w:r>
            <w:r>
              <w:rPr>
                <w:sz w:val="18"/>
              </w:rPr>
              <w:t>financiador</w:t>
            </w:r>
            <w:r>
              <w:rPr>
                <w:spacing w:val="-6"/>
                <w:sz w:val="18"/>
              </w:rPr>
              <w:t> </w:t>
            </w:r>
            <w:r>
              <w:rPr>
                <w:sz w:val="18"/>
              </w:rPr>
              <w:t>acuerda</w:t>
            </w:r>
            <w:r>
              <w:rPr>
                <w:spacing w:val="-6"/>
                <w:sz w:val="18"/>
              </w:rPr>
              <w:t> </w:t>
            </w:r>
            <w:r>
              <w:rPr>
                <w:sz w:val="18"/>
              </w:rPr>
              <w:t>que el Socio puede conservar el material.</w:t>
            </w:r>
          </w:p>
        </w:tc>
      </w:tr>
      <w:tr>
        <w:trPr>
          <w:trHeight w:val="1133" w:hRule="atLeast"/>
        </w:trPr>
        <w:tc>
          <w:tcPr>
            <w:tcW w:w="1086" w:type="dxa"/>
            <w:tcBorders>
              <w:top w:val="dashSmallGap" w:sz="4" w:space="0" w:color="000000"/>
              <w:bottom w:val="dashSmallGap" w:sz="4" w:space="0" w:color="000000"/>
            </w:tcBorders>
          </w:tcPr>
          <w:p>
            <w:pPr>
              <w:pStyle w:val="TableParagraph"/>
              <w:spacing w:line="229" w:lineRule="exact"/>
              <w:ind w:left="21"/>
              <w:rPr>
                <w:sz w:val="20"/>
              </w:rPr>
            </w:pPr>
            <w:r>
              <w:rPr>
                <w:color w:val="585858"/>
                <w:sz w:val="20"/>
              </w:rPr>
              <w:t>Anexo</w:t>
            </w:r>
            <w:r>
              <w:rPr>
                <w:color w:val="585858"/>
                <w:spacing w:val="-7"/>
                <w:sz w:val="20"/>
              </w:rPr>
              <w:t> </w:t>
            </w:r>
            <w:r>
              <w:rPr>
                <w:color w:val="585858"/>
                <w:spacing w:val="-10"/>
                <w:sz w:val="20"/>
              </w:rPr>
              <w:t>4</w:t>
            </w:r>
          </w:p>
        </w:tc>
        <w:tc>
          <w:tcPr>
            <w:tcW w:w="5918" w:type="dxa"/>
            <w:tcBorders>
              <w:top w:val="dashSmallGap" w:sz="4" w:space="0" w:color="000000"/>
              <w:bottom w:val="dashSmallGap" w:sz="4" w:space="0" w:color="000000"/>
            </w:tcBorders>
          </w:tcPr>
          <w:p>
            <w:pPr>
              <w:pStyle w:val="TableParagraph"/>
              <w:spacing w:line="229" w:lineRule="exact"/>
              <w:ind w:left="333"/>
              <w:jc w:val="both"/>
              <w:rPr>
                <w:sz w:val="20"/>
              </w:rPr>
            </w:pPr>
            <w:r>
              <w:rPr>
                <w:color w:val="FF0000"/>
                <w:sz w:val="20"/>
              </w:rPr>
              <w:t>INSTRUCCIONES</w:t>
            </w:r>
            <w:r>
              <w:rPr>
                <w:color w:val="FF0000"/>
                <w:spacing w:val="-10"/>
                <w:sz w:val="20"/>
              </w:rPr>
              <w:t> </w:t>
            </w:r>
            <w:r>
              <w:rPr>
                <w:color w:val="FF0000"/>
                <w:sz w:val="20"/>
              </w:rPr>
              <w:t>DE</w:t>
            </w:r>
            <w:r>
              <w:rPr>
                <w:color w:val="FF0000"/>
                <w:spacing w:val="-5"/>
                <w:sz w:val="20"/>
              </w:rPr>
              <w:t> </w:t>
            </w:r>
            <w:r>
              <w:rPr>
                <w:color w:val="FF0000"/>
                <w:sz w:val="20"/>
              </w:rPr>
              <w:t>AUDITORÍA</w:t>
            </w:r>
            <w:r>
              <w:rPr>
                <w:color w:val="FF0000"/>
                <w:spacing w:val="-7"/>
                <w:sz w:val="20"/>
              </w:rPr>
              <w:t> </w:t>
            </w:r>
            <w:r>
              <w:rPr>
                <w:color w:val="FF0000"/>
                <w:sz w:val="20"/>
              </w:rPr>
              <w:t>DE</w:t>
            </w:r>
            <w:r>
              <w:rPr>
                <w:color w:val="FF0000"/>
                <w:spacing w:val="-7"/>
                <w:sz w:val="20"/>
              </w:rPr>
              <w:t> </w:t>
            </w:r>
            <w:r>
              <w:rPr>
                <w:color w:val="FF0000"/>
                <w:spacing w:val="-4"/>
                <w:sz w:val="20"/>
              </w:rPr>
              <w:t>DIPD</w:t>
            </w:r>
          </w:p>
          <w:p>
            <w:pPr>
              <w:pStyle w:val="TableParagraph"/>
              <w:spacing w:line="261" w:lineRule="auto" w:before="100"/>
              <w:ind w:left="333" w:right="2"/>
              <w:jc w:val="both"/>
              <w:rPr>
                <w:sz w:val="18"/>
              </w:rPr>
            </w:pPr>
            <w:r>
              <w:rPr>
                <w:sz w:val="18"/>
              </w:rPr>
              <w:t>Las instrucciones de auditoría de DIPD deben ser compartidas con y conocidas</w:t>
            </w:r>
            <w:r>
              <w:rPr>
                <w:spacing w:val="-5"/>
                <w:sz w:val="18"/>
              </w:rPr>
              <w:t> </w:t>
            </w:r>
            <w:r>
              <w:rPr>
                <w:sz w:val="18"/>
              </w:rPr>
              <w:t>por</w:t>
            </w:r>
            <w:r>
              <w:rPr>
                <w:spacing w:val="-6"/>
                <w:sz w:val="18"/>
              </w:rPr>
              <w:t> </w:t>
            </w:r>
            <w:r>
              <w:rPr>
                <w:sz w:val="18"/>
              </w:rPr>
              <w:t>el</w:t>
            </w:r>
            <w:r>
              <w:rPr>
                <w:spacing w:val="-8"/>
                <w:sz w:val="18"/>
              </w:rPr>
              <w:t> </w:t>
            </w:r>
            <w:r>
              <w:rPr>
                <w:sz w:val="18"/>
              </w:rPr>
              <w:t>contable</w:t>
            </w:r>
            <w:r>
              <w:rPr>
                <w:spacing w:val="-6"/>
                <w:sz w:val="18"/>
              </w:rPr>
              <w:t> </w:t>
            </w:r>
            <w:r>
              <w:rPr>
                <w:sz w:val="18"/>
              </w:rPr>
              <w:t>del</w:t>
            </w:r>
            <w:r>
              <w:rPr>
                <w:spacing w:val="-6"/>
                <w:sz w:val="18"/>
              </w:rPr>
              <w:t> </w:t>
            </w:r>
            <w:r>
              <w:rPr>
                <w:sz w:val="18"/>
              </w:rPr>
              <w:t>Socio</w:t>
            </w:r>
            <w:r>
              <w:rPr>
                <w:spacing w:val="-8"/>
                <w:sz w:val="18"/>
              </w:rPr>
              <w:t> </w:t>
            </w:r>
            <w:r>
              <w:rPr>
                <w:sz w:val="18"/>
              </w:rPr>
              <w:t>del</w:t>
            </w:r>
            <w:r>
              <w:rPr>
                <w:spacing w:val="-6"/>
                <w:sz w:val="18"/>
              </w:rPr>
              <w:t> </w:t>
            </w:r>
            <w:r>
              <w:rPr>
                <w:sz w:val="18"/>
              </w:rPr>
              <w:t>Encargo,</w:t>
            </w:r>
            <w:r>
              <w:rPr>
                <w:spacing w:val="-6"/>
                <w:sz w:val="18"/>
              </w:rPr>
              <w:t> </w:t>
            </w:r>
            <w:r>
              <w:rPr>
                <w:sz w:val="18"/>
              </w:rPr>
              <w:t>el</w:t>
            </w:r>
            <w:r>
              <w:rPr>
                <w:spacing w:val="-6"/>
                <w:sz w:val="18"/>
              </w:rPr>
              <w:t> </w:t>
            </w:r>
            <w:r>
              <w:rPr>
                <w:sz w:val="18"/>
              </w:rPr>
              <w:t>contable,</w:t>
            </w:r>
            <w:r>
              <w:rPr>
                <w:spacing w:val="-6"/>
                <w:sz w:val="18"/>
              </w:rPr>
              <w:t> </w:t>
            </w:r>
            <w:r>
              <w:rPr>
                <w:sz w:val="18"/>
              </w:rPr>
              <w:t>el</w:t>
            </w:r>
            <w:r>
              <w:rPr>
                <w:spacing w:val="-6"/>
                <w:sz w:val="18"/>
              </w:rPr>
              <w:t> </w:t>
            </w:r>
            <w:r>
              <w:rPr>
                <w:sz w:val="18"/>
              </w:rPr>
              <w:t>gestor financiero y el auditor.</w:t>
            </w:r>
          </w:p>
        </w:tc>
      </w:tr>
      <w:tr>
        <w:trPr>
          <w:trHeight w:val="1341" w:hRule="atLeast"/>
        </w:trPr>
        <w:tc>
          <w:tcPr>
            <w:tcW w:w="1086" w:type="dxa"/>
            <w:tcBorders>
              <w:top w:val="dashSmallGap" w:sz="4" w:space="0" w:color="000000"/>
              <w:bottom w:val="dashSmallGap" w:sz="4" w:space="0" w:color="000000"/>
            </w:tcBorders>
          </w:tcPr>
          <w:p>
            <w:pPr>
              <w:pStyle w:val="TableParagraph"/>
              <w:spacing w:line="229" w:lineRule="exact"/>
              <w:ind w:left="21"/>
              <w:rPr>
                <w:sz w:val="20"/>
              </w:rPr>
            </w:pPr>
            <w:r>
              <w:rPr>
                <w:color w:val="585858"/>
                <w:sz w:val="20"/>
              </w:rPr>
              <w:t>Anexo</w:t>
            </w:r>
            <w:r>
              <w:rPr>
                <w:color w:val="585858"/>
                <w:spacing w:val="-7"/>
                <w:sz w:val="20"/>
              </w:rPr>
              <w:t> </w:t>
            </w:r>
            <w:r>
              <w:rPr>
                <w:color w:val="585858"/>
                <w:spacing w:val="-10"/>
                <w:sz w:val="20"/>
              </w:rPr>
              <w:t>5</w:t>
            </w:r>
          </w:p>
        </w:tc>
        <w:tc>
          <w:tcPr>
            <w:tcW w:w="5918" w:type="dxa"/>
            <w:tcBorders>
              <w:top w:val="dashSmallGap" w:sz="4" w:space="0" w:color="000000"/>
              <w:bottom w:val="dashSmallGap" w:sz="4" w:space="0" w:color="000000"/>
            </w:tcBorders>
          </w:tcPr>
          <w:p>
            <w:pPr>
              <w:pStyle w:val="TableParagraph"/>
              <w:spacing w:line="229" w:lineRule="exact"/>
              <w:ind w:left="333"/>
              <w:jc w:val="both"/>
              <w:rPr>
                <w:sz w:val="20"/>
              </w:rPr>
            </w:pPr>
            <w:r>
              <w:rPr>
                <w:color w:val="FF0000"/>
                <w:sz w:val="20"/>
              </w:rPr>
              <w:t>DIPD</w:t>
            </w:r>
            <w:r>
              <w:rPr>
                <w:color w:val="FF0000"/>
                <w:spacing w:val="-6"/>
                <w:sz w:val="20"/>
              </w:rPr>
              <w:t> </w:t>
            </w:r>
            <w:r>
              <w:rPr>
                <w:color w:val="FF0000"/>
                <w:sz w:val="20"/>
              </w:rPr>
              <w:t>CHECK</w:t>
            </w:r>
            <w:r>
              <w:rPr>
                <w:color w:val="FF0000"/>
                <w:spacing w:val="-4"/>
                <w:sz w:val="20"/>
              </w:rPr>
              <w:t> </w:t>
            </w:r>
            <w:r>
              <w:rPr>
                <w:color w:val="FF0000"/>
                <w:sz w:val="20"/>
              </w:rPr>
              <w:t>LIST</w:t>
            </w:r>
            <w:r>
              <w:rPr>
                <w:color w:val="FF0000"/>
                <w:spacing w:val="-3"/>
                <w:sz w:val="20"/>
              </w:rPr>
              <w:t> </w:t>
            </w:r>
            <w:r>
              <w:rPr>
                <w:color w:val="FF0000"/>
                <w:sz w:val="20"/>
              </w:rPr>
              <w:t>PARA</w:t>
            </w:r>
            <w:r>
              <w:rPr>
                <w:color w:val="FF0000"/>
                <w:spacing w:val="-4"/>
                <w:sz w:val="20"/>
              </w:rPr>
              <w:t> </w:t>
            </w:r>
            <w:r>
              <w:rPr>
                <w:color w:val="FF0000"/>
                <w:sz w:val="20"/>
              </w:rPr>
              <w:t>LA</w:t>
            </w:r>
            <w:r>
              <w:rPr>
                <w:color w:val="FF0000"/>
                <w:spacing w:val="-5"/>
                <w:sz w:val="20"/>
              </w:rPr>
              <w:t> </w:t>
            </w:r>
            <w:r>
              <w:rPr>
                <w:color w:val="FF0000"/>
                <w:sz w:val="20"/>
              </w:rPr>
              <w:t>SECCIÓN</w:t>
            </w:r>
            <w:r>
              <w:rPr>
                <w:color w:val="FF0000"/>
                <w:spacing w:val="-6"/>
                <w:sz w:val="20"/>
              </w:rPr>
              <w:t> </w:t>
            </w:r>
            <w:r>
              <w:rPr>
                <w:color w:val="FF0000"/>
                <w:sz w:val="20"/>
              </w:rPr>
              <w:t>DE</w:t>
            </w:r>
            <w:r>
              <w:rPr>
                <w:color w:val="FF0000"/>
                <w:spacing w:val="-5"/>
                <w:sz w:val="20"/>
              </w:rPr>
              <w:t> </w:t>
            </w:r>
            <w:r>
              <w:rPr>
                <w:color w:val="FF0000"/>
                <w:spacing w:val="-2"/>
                <w:sz w:val="20"/>
              </w:rPr>
              <w:t>CUENTAS</w:t>
            </w:r>
          </w:p>
          <w:p>
            <w:pPr>
              <w:pStyle w:val="TableParagraph"/>
              <w:spacing w:line="259" w:lineRule="auto" w:before="103"/>
              <w:ind w:left="333" w:right="34"/>
              <w:jc w:val="both"/>
              <w:rPr>
                <w:sz w:val="18"/>
              </w:rPr>
            </w:pPr>
            <w:r>
              <w:rPr>
                <w:sz w:val="18"/>
              </w:rPr>
              <w:t>Esta</w:t>
            </w:r>
            <w:r>
              <w:rPr>
                <w:spacing w:val="-9"/>
                <w:sz w:val="18"/>
              </w:rPr>
              <w:t> </w:t>
            </w:r>
            <w:r>
              <w:rPr>
                <w:i/>
                <w:sz w:val="18"/>
              </w:rPr>
              <w:t>check</w:t>
            </w:r>
            <w:r>
              <w:rPr>
                <w:i/>
                <w:spacing w:val="-9"/>
                <w:sz w:val="18"/>
              </w:rPr>
              <w:t> </w:t>
            </w:r>
            <w:r>
              <w:rPr>
                <w:i/>
                <w:sz w:val="18"/>
              </w:rPr>
              <w:t>list</w:t>
            </w:r>
            <w:r>
              <w:rPr>
                <w:i/>
                <w:spacing w:val="-9"/>
                <w:sz w:val="18"/>
              </w:rPr>
              <w:t> </w:t>
            </w:r>
            <w:r>
              <w:rPr>
                <w:sz w:val="18"/>
              </w:rPr>
              <w:t>debe</w:t>
            </w:r>
            <w:r>
              <w:rPr>
                <w:spacing w:val="-12"/>
                <w:sz w:val="18"/>
              </w:rPr>
              <w:t> </w:t>
            </w:r>
            <w:r>
              <w:rPr>
                <w:sz w:val="18"/>
              </w:rPr>
              <w:t>ser</w:t>
            </w:r>
            <w:r>
              <w:rPr>
                <w:spacing w:val="-10"/>
                <w:sz w:val="18"/>
              </w:rPr>
              <w:t> </w:t>
            </w:r>
            <w:r>
              <w:rPr>
                <w:sz w:val="18"/>
              </w:rPr>
              <w:t>compartida</w:t>
            </w:r>
            <w:r>
              <w:rPr>
                <w:spacing w:val="-12"/>
                <w:sz w:val="18"/>
              </w:rPr>
              <w:t> </w:t>
            </w:r>
            <w:r>
              <w:rPr>
                <w:sz w:val="18"/>
              </w:rPr>
              <w:t>con</w:t>
            </w:r>
            <w:r>
              <w:rPr>
                <w:spacing w:val="-12"/>
                <w:sz w:val="18"/>
              </w:rPr>
              <w:t> </w:t>
            </w:r>
            <w:r>
              <w:rPr>
                <w:sz w:val="18"/>
              </w:rPr>
              <w:t>las</w:t>
            </w:r>
            <w:r>
              <w:rPr>
                <w:spacing w:val="-12"/>
                <w:sz w:val="18"/>
              </w:rPr>
              <w:t> </w:t>
            </w:r>
            <w:r>
              <w:rPr>
                <w:sz w:val="18"/>
              </w:rPr>
              <w:t>partes</w:t>
            </w:r>
            <w:r>
              <w:rPr>
                <w:spacing w:val="-9"/>
                <w:sz w:val="18"/>
              </w:rPr>
              <w:t> </w:t>
            </w:r>
            <w:r>
              <w:rPr>
                <w:sz w:val="18"/>
              </w:rPr>
              <w:t>interesadas</w:t>
            </w:r>
            <w:r>
              <w:rPr>
                <w:spacing w:val="-9"/>
                <w:sz w:val="18"/>
              </w:rPr>
              <w:t> </w:t>
            </w:r>
            <w:r>
              <w:rPr>
                <w:sz w:val="18"/>
              </w:rPr>
              <w:t>(a</w:t>
            </w:r>
            <w:r>
              <w:rPr>
                <w:spacing w:val="-10"/>
                <w:sz w:val="18"/>
              </w:rPr>
              <w:t> </w:t>
            </w:r>
            <w:r>
              <w:rPr>
                <w:sz w:val="18"/>
              </w:rPr>
              <w:t>nivel interno y externo) por el partido político danés o un socio de DIPD. Puede ser un contable o un auditor.</w:t>
            </w:r>
          </w:p>
        </w:tc>
      </w:tr>
      <w:tr>
        <w:trPr>
          <w:trHeight w:val="1046" w:hRule="atLeast"/>
        </w:trPr>
        <w:tc>
          <w:tcPr>
            <w:tcW w:w="1086" w:type="dxa"/>
            <w:tcBorders>
              <w:top w:val="dashSmallGap" w:sz="4" w:space="0" w:color="000000"/>
              <w:bottom w:val="dashSmallGap" w:sz="4" w:space="0" w:color="000000"/>
            </w:tcBorders>
          </w:tcPr>
          <w:p>
            <w:pPr>
              <w:pStyle w:val="TableParagraph"/>
              <w:spacing w:before="2"/>
              <w:ind w:left="21"/>
              <w:rPr>
                <w:sz w:val="20"/>
              </w:rPr>
            </w:pPr>
            <w:r>
              <w:rPr>
                <w:color w:val="585858"/>
                <w:sz w:val="20"/>
              </w:rPr>
              <w:t>Anexo</w:t>
            </w:r>
            <w:r>
              <w:rPr>
                <w:color w:val="585858"/>
                <w:spacing w:val="-7"/>
                <w:sz w:val="20"/>
              </w:rPr>
              <w:t> </w:t>
            </w:r>
            <w:r>
              <w:rPr>
                <w:color w:val="585858"/>
                <w:spacing w:val="-10"/>
                <w:sz w:val="20"/>
              </w:rPr>
              <w:t>6</w:t>
            </w:r>
          </w:p>
        </w:tc>
        <w:tc>
          <w:tcPr>
            <w:tcW w:w="5918" w:type="dxa"/>
            <w:tcBorders>
              <w:top w:val="dashSmallGap" w:sz="4" w:space="0" w:color="000000"/>
              <w:bottom w:val="dashSmallGap" w:sz="4" w:space="0" w:color="000000"/>
            </w:tcBorders>
          </w:tcPr>
          <w:p>
            <w:pPr>
              <w:pStyle w:val="TableParagraph"/>
              <w:spacing w:line="256" w:lineRule="auto" w:before="2"/>
              <w:ind w:left="333"/>
              <w:rPr>
                <w:sz w:val="20"/>
              </w:rPr>
            </w:pPr>
            <w:r>
              <w:rPr>
                <w:color w:val="FF0000"/>
                <w:sz w:val="20"/>
              </w:rPr>
              <w:t>FORMATO</w:t>
            </w:r>
            <w:r>
              <w:rPr>
                <w:color w:val="FF0000"/>
                <w:spacing w:val="40"/>
                <w:sz w:val="20"/>
              </w:rPr>
              <w:t> </w:t>
            </w:r>
            <w:r>
              <w:rPr>
                <w:color w:val="FF0000"/>
                <w:sz w:val="20"/>
              </w:rPr>
              <w:t>DE</w:t>
            </w:r>
            <w:r>
              <w:rPr>
                <w:color w:val="FF0000"/>
                <w:spacing w:val="40"/>
                <w:sz w:val="20"/>
              </w:rPr>
              <w:t> </w:t>
            </w:r>
            <w:r>
              <w:rPr>
                <w:color w:val="FF0000"/>
                <w:sz w:val="20"/>
              </w:rPr>
              <w:t>PRESUPUESTOS</w:t>
            </w:r>
            <w:r>
              <w:rPr>
                <w:color w:val="FF0000"/>
                <w:spacing w:val="40"/>
                <w:sz w:val="20"/>
              </w:rPr>
              <w:t> </w:t>
            </w:r>
            <w:r>
              <w:rPr>
                <w:color w:val="FF0000"/>
                <w:sz w:val="20"/>
              </w:rPr>
              <w:t>PARA</w:t>
            </w:r>
            <w:r>
              <w:rPr>
                <w:color w:val="FF0000"/>
                <w:spacing w:val="40"/>
                <w:sz w:val="20"/>
              </w:rPr>
              <w:t> </w:t>
            </w:r>
            <w:r>
              <w:rPr>
                <w:color w:val="FF0000"/>
                <w:sz w:val="20"/>
              </w:rPr>
              <w:t>EL</w:t>
            </w:r>
            <w:r>
              <w:rPr>
                <w:color w:val="FF0000"/>
                <w:spacing w:val="40"/>
                <w:sz w:val="20"/>
              </w:rPr>
              <w:t> </w:t>
            </w:r>
            <w:r>
              <w:rPr>
                <w:color w:val="FF0000"/>
                <w:sz w:val="20"/>
              </w:rPr>
              <w:t>SOCIO</w:t>
            </w:r>
            <w:r>
              <w:rPr>
                <w:color w:val="FF0000"/>
                <w:spacing w:val="40"/>
                <w:sz w:val="20"/>
              </w:rPr>
              <w:t> </w:t>
            </w:r>
            <w:r>
              <w:rPr>
                <w:color w:val="FF0000"/>
                <w:sz w:val="20"/>
              </w:rPr>
              <w:t>DEL</w:t>
            </w:r>
            <w:r>
              <w:rPr>
                <w:color w:val="FF0000"/>
                <w:spacing w:val="40"/>
                <w:sz w:val="20"/>
              </w:rPr>
              <w:t> </w:t>
            </w:r>
            <w:r>
              <w:rPr>
                <w:color w:val="FF0000"/>
                <w:sz w:val="20"/>
              </w:rPr>
              <w:t>ENCARGO Y EL SOCIO</w:t>
            </w:r>
          </w:p>
          <w:p>
            <w:pPr>
              <w:pStyle w:val="TableParagraph"/>
              <w:spacing w:line="220" w:lineRule="atLeast" w:before="91"/>
              <w:ind w:left="333"/>
              <w:rPr>
                <w:sz w:val="18"/>
              </w:rPr>
            </w:pPr>
            <w:r>
              <w:rPr>
                <w:sz w:val="18"/>
              </w:rPr>
              <w:t>Este</w:t>
            </w:r>
            <w:r>
              <w:rPr>
                <w:spacing w:val="-4"/>
                <w:sz w:val="18"/>
              </w:rPr>
              <w:t> </w:t>
            </w:r>
            <w:r>
              <w:rPr>
                <w:sz w:val="18"/>
              </w:rPr>
              <w:t>formato</w:t>
            </w:r>
            <w:r>
              <w:rPr>
                <w:spacing w:val="-4"/>
                <w:sz w:val="18"/>
              </w:rPr>
              <w:t> </w:t>
            </w:r>
            <w:r>
              <w:rPr>
                <w:sz w:val="18"/>
              </w:rPr>
              <w:t>se</w:t>
            </w:r>
            <w:r>
              <w:rPr>
                <w:spacing w:val="-3"/>
                <w:sz w:val="18"/>
              </w:rPr>
              <w:t> </w:t>
            </w:r>
            <w:r>
              <w:rPr>
                <w:sz w:val="18"/>
              </w:rPr>
              <w:t>puede</w:t>
            </w:r>
            <w:r>
              <w:rPr>
                <w:spacing w:val="-6"/>
                <w:sz w:val="18"/>
              </w:rPr>
              <w:t> </w:t>
            </w:r>
            <w:r>
              <w:rPr>
                <w:sz w:val="18"/>
              </w:rPr>
              <w:t>utilizar</w:t>
            </w:r>
            <w:r>
              <w:rPr>
                <w:spacing w:val="-6"/>
                <w:sz w:val="18"/>
              </w:rPr>
              <w:t> </w:t>
            </w:r>
            <w:r>
              <w:rPr>
                <w:sz w:val="18"/>
              </w:rPr>
              <w:t>como</w:t>
            </w:r>
            <w:r>
              <w:rPr>
                <w:spacing w:val="-4"/>
                <w:sz w:val="18"/>
              </w:rPr>
              <w:t> </w:t>
            </w:r>
            <w:r>
              <w:rPr>
                <w:sz w:val="18"/>
              </w:rPr>
              <w:t>presupuesto</w:t>
            </w:r>
            <w:r>
              <w:rPr>
                <w:spacing w:val="-4"/>
                <w:sz w:val="18"/>
              </w:rPr>
              <w:t> </w:t>
            </w:r>
            <w:r>
              <w:rPr>
                <w:sz w:val="18"/>
              </w:rPr>
              <w:t>de</w:t>
            </w:r>
            <w:r>
              <w:rPr>
                <w:spacing w:val="-4"/>
                <w:sz w:val="18"/>
              </w:rPr>
              <w:t> </w:t>
            </w:r>
            <w:r>
              <w:rPr>
                <w:sz w:val="18"/>
              </w:rPr>
              <w:t>actividades</w:t>
            </w:r>
            <w:r>
              <w:rPr>
                <w:spacing w:val="-5"/>
                <w:sz w:val="18"/>
              </w:rPr>
              <w:t> </w:t>
            </w:r>
            <w:r>
              <w:rPr>
                <w:sz w:val="18"/>
              </w:rPr>
              <w:t>para el socio.</w:t>
            </w:r>
          </w:p>
        </w:tc>
      </w:tr>
      <w:tr>
        <w:trPr>
          <w:trHeight w:val="1027" w:hRule="atLeast"/>
        </w:trPr>
        <w:tc>
          <w:tcPr>
            <w:tcW w:w="1086" w:type="dxa"/>
            <w:tcBorders>
              <w:top w:val="dashSmallGap" w:sz="4" w:space="0" w:color="000000"/>
              <w:bottom w:val="dashSmallGap" w:sz="4" w:space="0" w:color="000000"/>
            </w:tcBorders>
          </w:tcPr>
          <w:p>
            <w:pPr>
              <w:pStyle w:val="TableParagraph"/>
              <w:spacing w:line="229" w:lineRule="exact"/>
              <w:ind w:left="21"/>
              <w:rPr>
                <w:sz w:val="20"/>
              </w:rPr>
            </w:pPr>
            <w:r>
              <w:rPr>
                <w:color w:val="585858"/>
                <w:sz w:val="20"/>
              </w:rPr>
              <w:t>Anexo</w:t>
            </w:r>
            <w:r>
              <w:rPr>
                <w:color w:val="585858"/>
                <w:spacing w:val="-7"/>
                <w:sz w:val="20"/>
              </w:rPr>
              <w:t> </w:t>
            </w:r>
            <w:r>
              <w:rPr>
                <w:color w:val="585858"/>
                <w:spacing w:val="-10"/>
                <w:sz w:val="20"/>
              </w:rPr>
              <w:t>7</w:t>
            </w:r>
          </w:p>
        </w:tc>
        <w:tc>
          <w:tcPr>
            <w:tcW w:w="5918" w:type="dxa"/>
            <w:tcBorders>
              <w:top w:val="dashSmallGap" w:sz="4" w:space="0" w:color="000000"/>
              <w:bottom w:val="dashSmallGap" w:sz="4" w:space="0" w:color="000000"/>
            </w:tcBorders>
          </w:tcPr>
          <w:p>
            <w:pPr>
              <w:pStyle w:val="TableParagraph"/>
              <w:spacing w:line="229" w:lineRule="exact"/>
              <w:ind w:left="333"/>
              <w:rPr>
                <w:sz w:val="20"/>
              </w:rPr>
            </w:pPr>
            <w:r>
              <w:rPr>
                <w:color w:val="FF0000"/>
                <w:sz w:val="20"/>
              </w:rPr>
              <w:t>PLANTILLA</w:t>
            </w:r>
            <w:r>
              <w:rPr>
                <w:color w:val="FF0000"/>
                <w:spacing w:val="-6"/>
                <w:sz w:val="20"/>
              </w:rPr>
              <w:t> </w:t>
            </w:r>
            <w:r>
              <w:rPr>
                <w:color w:val="FF0000"/>
                <w:sz w:val="20"/>
              </w:rPr>
              <w:t>DE</w:t>
            </w:r>
            <w:r>
              <w:rPr>
                <w:color w:val="FF0000"/>
                <w:spacing w:val="-5"/>
                <w:sz w:val="20"/>
              </w:rPr>
              <w:t> </w:t>
            </w:r>
            <w:r>
              <w:rPr>
                <w:color w:val="FF0000"/>
                <w:sz w:val="20"/>
              </w:rPr>
              <w:t>CUENTAS</w:t>
            </w:r>
            <w:r>
              <w:rPr>
                <w:color w:val="FF0000"/>
                <w:spacing w:val="-3"/>
                <w:sz w:val="20"/>
              </w:rPr>
              <w:t> </w:t>
            </w:r>
            <w:r>
              <w:rPr>
                <w:color w:val="FF0000"/>
                <w:sz w:val="20"/>
              </w:rPr>
              <w:t>DE</w:t>
            </w:r>
            <w:r>
              <w:rPr>
                <w:color w:val="FF0000"/>
                <w:spacing w:val="-5"/>
                <w:sz w:val="20"/>
              </w:rPr>
              <w:t> </w:t>
            </w:r>
            <w:r>
              <w:rPr>
                <w:color w:val="FF0000"/>
                <w:sz w:val="20"/>
              </w:rPr>
              <w:t>DIPD</w:t>
            </w:r>
            <w:r>
              <w:rPr>
                <w:color w:val="FF0000"/>
                <w:spacing w:val="-5"/>
                <w:sz w:val="20"/>
              </w:rPr>
              <w:t> </w:t>
            </w:r>
            <w:r>
              <w:rPr>
                <w:color w:val="FF0000"/>
                <w:sz w:val="20"/>
              </w:rPr>
              <w:t>-</w:t>
            </w:r>
            <w:r>
              <w:rPr>
                <w:color w:val="FF0000"/>
                <w:spacing w:val="-5"/>
                <w:sz w:val="20"/>
              </w:rPr>
              <w:t> </w:t>
            </w:r>
            <w:r>
              <w:rPr>
                <w:color w:val="FF0000"/>
                <w:spacing w:val="-4"/>
                <w:sz w:val="20"/>
              </w:rPr>
              <w:t>DANÉS</w:t>
            </w:r>
          </w:p>
          <w:p>
            <w:pPr>
              <w:pStyle w:val="TableParagraph"/>
              <w:spacing w:line="259" w:lineRule="auto" w:before="101"/>
              <w:ind w:left="333"/>
              <w:rPr>
                <w:sz w:val="18"/>
              </w:rPr>
            </w:pPr>
            <w:r>
              <w:rPr>
                <w:sz w:val="18"/>
              </w:rPr>
              <w:t>Esta cuenta modelo puede ser utilizada por el EP y asegura que las cuentas cumplen con todos los requisitos.</w:t>
            </w:r>
          </w:p>
        </w:tc>
      </w:tr>
    </w:tbl>
    <w:p>
      <w:pPr>
        <w:spacing w:after="0" w:line="259" w:lineRule="auto"/>
        <w:rPr>
          <w:sz w:val="18"/>
        </w:rPr>
        <w:sectPr>
          <w:headerReference w:type="default" r:id="rId57"/>
          <w:footerReference w:type="default" r:id="rId58"/>
          <w:pgSz w:w="11910" w:h="16850"/>
          <w:pgMar w:header="718" w:footer="843" w:top="940" w:bottom="1040" w:left="1300" w:right="1400"/>
        </w:sectPr>
      </w:pPr>
    </w:p>
    <w:p>
      <w:pPr>
        <w:pStyle w:val="BodyText"/>
        <w:spacing w:before="5"/>
        <w:rPr>
          <w:sz w:val="3"/>
        </w:rPr>
      </w:pPr>
      <w:r>
        <w:rPr/>
        <w:pict>
          <v:line style="position:absolute;mso-position-horizontal-relative:page;mso-position-vertical-relative:page;z-index:15748608" from="345.899994pt,788.599976pt" to="483.549994pt,788.599976pt" stroked="true" strokeweight=".96pt" strokecolor="#000000">
            <v:stroke dashstyle="shortdot"/>
            <w10:wrap type="none"/>
          </v:line>
        </w:pict>
      </w:r>
    </w:p>
    <w:tbl>
      <w:tblPr>
        <w:tblW w:w="0" w:type="auto"/>
        <w:jc w:val="left"/>
        <w:tblInd w:w="9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6"/>
        <w:gridCol w:w="1087"/>
        <w:gridCol w:w="5919"/>
      </w:tblGrid>
      <w:tr>
        <w:trPr>
          <w:trHeight w:val="181" w:hRule="atLeast"/>
        </w:trPr>
        <w:tc>
          <w:tcPr>
            <w:tcW w:w="116" w:type="dxa"/>
            <w:tcBorders>
              <w:top w:val="dotted" w:sz="8" w:space="0" w:color="000000"/>
            </w:tcBorders>
          </w:tcPr>
          <w:p>
            <w:pPr>
              <w:pStyle w:val="TableParagraph"/>
              <w:rPr>
                <w:rFonts w:ascii="Times New Roman"/>
                <w:sz w:val="12"/>
              </w:rPr>
            </w:pPr>
          </w:p>
        </w:tc>
        <w:tc>
          <w:tcPr>
            <w:tcW w:w="1087" w:type="dxa"/>
            <w:tcBorders>
              <w:top w:val="dotted" w:sz="8" w:space="0" w:color="000000"/>
              <w:bottom w:val="dashSmallGap" w:sz="4" w:space="0" w:color="000000"/>
            </w:tcBorders>
          </w:tcPr>
          <w:p>
            <w:pPr>
              <w:pStyle w:val="TableParagraph"/>
              <w:rPr>
                <w:rFonts w:ascii="Times New Roman"/>
                <w:sz w:val="12"/>
              </w:rPr>
            </w:pPr>
          </w:p>
        </w:tc>
        <w:tc>
          <w:tcPr>
            <w:tcW w:w="5919" w:type="dxa"/>
            <w:tcBorders>
              <w:top w:val="dotted" w:sz="8" w:space="0" w:color="000000"/>
              <w:bottom w:val="dashSmallGap" w:sz="4" w:space="0" w:color="000000"/>
            </w:tcBorders>
          </w:tcPr>
          <w:p>
            <w:pPr>
              <w:pStyle w:val="TableParagraph"/>
              <w:rPr>
                <w:rFonts w:ascii="Times New Roman"/>
                <w:sz w:val="12"/>
              </w:rPr>
            </w:pPr>
          </w:p>
        </w:tc>
      </w:tr>
      <w:tr>
        <w:trPr>
          <w:trHeight w:val="1012" w:hRule="atLeast"/>
        </w:trPr>
        <w:tc>
          <w:tcPr>
            <w:tcW w:w="116" w:type="dxa"/>
          </w:tcPr>
          <w:p>
            <w:pPr>
              <w:pStyle w:val="TableParagraph"/>
              <w:rPr>
                <w:rFonts w:ascii="Times New Roman"/>
                <w:sz w:val="18"/>
              </w:rPr>
            </w:pPr>
          </w:p>
        </w:tc>
        <w:tc>
          <w:tcPr>
            <w:tcW w:w="1087" w:type="dxa"/>
            <w:tcBorders>
              <w:top w:val="dashSmallGap" w:sz="4" w:space="0" w:color="000000"/>
              <w:bottom w:val="dashSmallGap" w:sz="4" w:space="0" w:color="000000"/>
            </w:tcBorders>
          </w:tcPr>
          <w:p>
            <w:pPr>
              <w:pStyle w:val="TableParagraph"/>
              <w:spacing w:line="229" w:lineRule="exact"/>
              <w:ind w:left="21"/>
              <w:rPr>
                <w:sz w:val="20"/>
              </w:rPr>
            </w:pPr>
            <w:r>
              <w:rPr>
                <w:color w:val="585858"/>
                <w:sz w:val="20"/>
              </w:rPr>
              <w:t>Anexo</w:t>
            </w:r>
            <w:r>
              <w:rPr>
                <w:color w:val="585858"/>
                <w:spacing w:val="-7"/>
                <w:sz w:val="20"/>
              </w:rPr>
              <w:t> </w:t>
            </w:r>
            <w:r>
              <w:rPr>
                <w:color w:val="585858"/>
                <w:spacing w:val="-10"/>
                <w:sz w:val="20"/>
              </w:rPr>
              <w:t>8</w:t>
            </w:r>
          </w:p>
        </w:tc>
        <w:tc>
          <w:tcPr>
            <w:tcW w:w="5919" w:type="dxa"/>
            <w:tcBorders>
              <w:top w:val="dashSmallGap" w:sz="4" w:space="0" w:color="000000"/>
              <w:bottom w:val="dashSmallGap" w:sz="4" w:space="0" w:color="000000"/>
            </w:tcBorders>
          </w:tcPr>
          <w:p>
            <w:pPr>
              <w:pStyle w:val="TableParagraph"/>
              <w:spacing w:before="117"/>
              <w:ind w:left="331"/>
              <w:rPr>
                <w:sz w:val="20"/>
              </w:rPr>
            </w:pPr>
            <w:r>
              <w:rPr>
                <w:color w:val="FF0000"/>
                <w:sz w:val="20"/>
              </w:rPr>
              <w:t>PLANTILLA</w:t>
            </w:r>
            <w:r>
              <w:rPr>
                <w:color w:val="FF0000"/>
                <w:spacing w:val="-6"/>
                <w:sz w:val="20"/>
              </w:rPr>
              <w:t> </w:t>
            </w:r>
            <w:r>
              <w:rPr>
                <w:color w:val="FF0000"/>
                <w:sz w:val="20"/>
              </w:rPr>
              <w:t>DE</w:t>
            </w:r>
            <w:r>
              <w:rPr>
                <w:color w:val="FF0000"/>
                <w:spacing w:val="-5"/>
                <w:sz w:val="20"/>
              </w:rPr>
              <w:t> </w:t>
            </w:r>
            <w:r>
              <w:rPr>
                <w:color w:val="FF0000"/>
                <w:sz w:val="20"/>
              </w:rPr>
              <w:t>CUENTAS</w:t>
            </w:r>
            <w:r>
              <w:rPr>
                <w:color w:val="FF0000"/>
                <w:spacing w:val="-3"/>
                <w:sz w:val="20"/>
              </w:rPr>
              <w:t> </w:t>
            </w:r>
            <w:r>
              <w:rPr>
                <w:color w:val="FF0000"/>
                <w:sz w:val="20"/>
              </w:rPr>
              <w:t>DE</w:t>
            </w:r>
            <w:r>
              <w:rPr>
                <w:color w:val="FF0000"/>
                <w:spacing w:val="-5"/>
                <w:sz w:val="20"/>
              </w:rPr>
              <w:t> </w:t>
            </w:r>
            <w:r>
              <w:rPr>
                <w:color w:val="FF0000"/>
                <w:sz w:val="20"/>
              </w:rPr>
              <w:t>DIPD</w:t>
            </w:r>
            <w:r>
              <w:rPr>
                <w:color w:val="FF0000"/>
                <w:spacing w:val="-5"/>
                <w:sz w:val="20"/>
              </w:rPr>
              <w:t> </w:t>
            </w:r>
            <w:r>
              <w:rPr>
                <w:color w:val="FF0000"/>
                <w:sz w:val="20"/>
              </w:rPr>
              <w:t>-</w:t>
            </w:r>
            <w:r>
              <w:rPr>
                <w:color w:val="FF0000"/>
                <w:spacing w:val="-3"/>
                <w:sz w:val="20"/>
              </w:rPr>
              <w:t> </w:t>
            </w:r>
            <w:r>
              <w:rPr>
                <w:color w:val="FF0000"/>
                <w:spacing w:val="-2"/>
                <w:sz w:val="20"/>
              </w:rPr>
              <w:t>ENGLISH</w:t>
            </w:r>
          </w:p>
          <w:p>
            <w:pPr>
              <w:pStyle w:val="TableParagraph"/>
              <w:spacing w:line="259" w:lineRule="auto" w:before="101"/>
              <w:ind w:left="331"/>
              <w:rPr>
                <w:sz w:val="18"/>
              </w:rPr>
            </w:pPr>
            <w:r>
              <w:rPr>
                <w:sz w:val="18"/>
              </w:rPr>
              <w:t>Esta</w:t>
            </w:r>
            <w:r>
              <w:rPr>
                <w:spacing w:val="-8"/>
                <w:sz w:val="18"/>
              </w:rPr>
              <w:t> </w:t>
            </w:r>
            <w:r>
              <w:rPr>
                <w:sz w:val="18"/>
              </w:rPr>
              <w:t>cuenta</w:t>
            </w:r>
            <w:r>
              <w:rPr>
                <w:spacing w:val="-8"/>
                <w:sz w:val="18"/>
              </w:rPr>
              <w:t> </w:t>
            </w:r>
            <w:r>
              <w:rPr>
                <w:sz w:val="18"/>
              </w:rPr>
              <w:t>modelo</w:t>
            </w:r>
            <w:r>
              <w:rPr>
                <w:spacing w:val="-8"/>
                <w:sz w:val="18"/>
              </w:rPr>
              <w:t> </w:t>
            </w:r>
            <w:r>
              <w:rPr>
                <w:sz w:val="18"/>
              </w:rPr>
              <w:t>puede</w:t>
            </w:r>
            <w:r>
              <w:rPr>
                <w:spacing w:val="-8"/>
                <w:sz w:val="18"/>
              </w:rPr>
              <w:t> </w:t>
            </w:r>
            <w:r>
              <w:rPr>
                <w:sz w:val="18"/>
              </w:rPr>
              <w:t>ser</w:t>
            </w:r>
            <w:r>
              <w:rPr>
                <w:spacing w:val="-8"/>
                <w:sz w:val="18"/>
              </w:rPr>
              <w:t> </w:t>
            </w:r>
            <w:r>
              <w:rPr>
                <w:sz w:val="18"/>
              </w:rPr>
              <w:t>utilizada</w:t>
            </w:r>
            <w:r>
              <w:rPr>
                <w:spacing w:val="-8"/>
                <w:sz w:val="18"/>
              </w:rPr>
              <w:t> </w:t>
            </w:r>
            <w:r>
              <w:rPr>
                <w:sz w:val="18"/>
              </w:rPr>
              <w:t>por</w:t>
            </w:r>
            <w:r>
              <w:rPr>
                <w:spacing w:val="-6"/>
                <w:sz w:val="18"/>
              </w:rPr>
              <w:t> </w:t>
            </w:r>
            <w:r>
              <w:rPr>
                <w:sz w:val="18"/>
              </w:rPr>
              <w:t>el</w:t>
            </w:r>
            <w:r>
              <w:rPr>
                <w:spacing w:val="-6"/>
                <w:sz w:val="18"/>
              </w:rPr>
              <w:t> </w:t>
            </w:r>
            <w:r>
              <w:rPr>
                <w:sz w:val="18"/>
              </w:rPr>
              <w:t>Socio</w:t>
            </w:r>
            <w:r>
              <w:rPr>
                <w:spacing w:val="-8"/>
                <w:sz w:val="18"/>
              </w:rPr>
              <w:t> </w:t>
            </w:r>
            <w:r>
              <w:rPr>
                <w:sz w:val="18"/>
              </w:rPr>
              <w:t>y</w:t>
            </w:r>
            <w:r>
              <w:rPr>
                <w:spacing w:val="-8"/>
                <w:sz w:val="18"/>
              </w:rPr>
              <w:t> </w:t>
            </w:r>
            <w:r>
              <w:rPr>
                <w:sz w:val="18"/>
              </w:rPr>
              <w:t>asegura</w:t>
            </w:r>
            <w:r>
              <w:rPr>
                <w:spacing w:val="-6"/>
                <w:sz w:val="18"/>
              </w:rPr>
              <w:t> </w:t>
            </w:r>
            <w:r>
              <w:rPr>
                <w:sz w:val="18"/>
              </w:rPr>
              <w:t>que</w:t>
            </w:r>
            <w:r>
              <w:rPr>
                <w:spacing w:val="-8"/>
                <w:sz w:val="18"/>
              </w:rPr>
              <w:t> </w:t>
            </w:r>
            <w:r>
              <w:rPr>
                <w:sz w:val="18"/>
              </w:rPr>
              <w:t>las cuentas cumplen con todos los requisitos.</w:t>
            </w:r>
          </w:p>
        </w:tc>
      </w:tr>
    </w:tbl>
    <w:sectPr>
      <w:headerReference w:type="default" r:id="rId59"/>
      <w:footerReference w:type="default" r:id="rId60"/>
      <w:pgSz w:w="11910" w:h="16850"/>
      <w:pgMar w:header="698" w:footer="843" w:top="880" w:bottom="1040" w:left="1300" w:right="140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Segoe UI Symbol">
    <w:altName w:val="Segoe UI Symbol"/>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16581120" from="345.899994pt,788.599976pt" to="483.549994pt,788.599976pt" stroked="true" strokeweight=".96pt" strokecolor="#000000">
          <v:stroke dashstyle="shortdot"/>
          <w10:wrap type="none"/>
        </v:line>
      </w:pict>
    </w:r>
    <w:r>
      <w:rPr/>
      <w:pict>
        <v:shape style="position:absolute;margin-left:247.809998pt;margin-top:788.881592pt;width:93.25pt;height:11pt;mso-position-horizontal-relative:page;mso-position-vertical-relative:page;z-index:-16580608" type="#_x0000_t202" id="docshape2" filled="false" stroked="false">
          <v:textbox inset="0,0,0,0">
            <w:txbxContent>
              <w:p>
                <w:pPr>
                  <w:spacing w:before="15"/>
                  <w:ind w:left="20" w:right="0" w:firstLine="0"/>
                  <w:jc w:val="left"/>
                  <w:rPr>
                    <w:b/>
                    <w:sz w:val="16"/>
                  </w:rPr>
                </w:pPr>
                <w:r>
                  <w:rPr>
                    <w:color w:val="808080"/>
                    <w:sz w:val="16"/>
                  </w:rPr>
                  <w:t>Draft</w:t>
                </w:r>
                <w:r>
                  <w:rPr>
                    <w:color w:val="808080"/>
                    <w:spacing w:val="-2"/>
                    <w:sz w:val="16"/>
                  </w:rPr>
                  <w:t> </w:t>
                </w:r>
                <w:r>
                  <w:rPr>
                    <w:color w:val="808080"/>
                    <w:sz w:val="16"/>
                  </w:rPr>
                  <w:t>May</w:t>
                </w:r>
                <w:r>
                  <w:rPr>
                    <w:color w:val="808080"/>
                    <w:spacing w:val="-3"/>
                    <w:sz w:val="16"/>
                  </w:rPr>
                  <w:t> </w:t>
                </w:r>
                <w:r>
                  <w:rPr>
                    <w:color w:val="808080"/>
                    <w:sz w:val="16"/>
                  </w:rPr>
                  <w:t>2021</w:t>
                </w:r>
                <w:r>
                  <w:rPr>
                    <w:color w:val="808080"/>
                    <w:spacing w:val="-2"/>
                    <w:sz w:val="16"/>
                  </w:rPr>
                  <w:t> </w:t>
                </w:r>
                <w:r>
                  <w:rPr>
                    <w:color w:val="808080"/>
                    <w:sz w:val="16"/>
                  </w:rPr>
                  <w:t>–</w:t>
                </w:r>
                <w:r>
                  <w:rPr>
                    <w:color w:val="808080"/>
                    <w:spacing w:val="-2"/>
                    <w:sz w:val="16"/>
                  </w:rPr>
                  <w:t> </w:t>
                </w:r>
                <w:r>
                  <w:rPr>
                    <w:color w:val="808080"/>
                    <w:sz w:val="16"/>
                  </w:rPr>
                  <w:t>page</w:t>
                </w:r>
                <w:r>
                  <w:rPr>
                    <w:color w:val="808080"/>
                    <w:spacing w:val="-2"/>
                    <w:sz w:val="16"/>
                  </w:rPr>
                  <w:t> </w:t>
                </w:r>
                <w:r>
                  <w:rPr>
                    <w:b/>
                    <w:color w:val="FF0000"/>
                    <w:spacing w:val="-10"/>
                    <w:sz w:val="16"/>
                  </w:rPr>
                  <w:fldChar w:fldCharType="begin"/>
                </w:r>
                <w:r>
                  <w:rPr>
                    <w:b/>
                    <w:color w:val="FF0000"/>
                    <w:spacing w:val="-10"/>
                    <w:sz w:val="16"/>
                  </w:rPr>
                  <w:instrText> PAGE </w:instrText>
                </w:r>
                <w:r>
                  <w:rPr>
                    <w:b/>
                    <w:color w:val="FF0000"/>
                    <w:spacing w:val="-10"/>
                    <w:sz w:val="16"/>
                  </w:rPr>
                  <w:fldChar w:fldCharType="separate"/>
                </w:r>
                <w:r>
                  <w:rPr>
                    <w:b/>
                    <w:color w:val="FF0000"/>
                    <w:spacing w:val="-10"/>
                    <w:sz w:val="16"/>
                  </w:rPr>
                  <w:t>1</w:t>
                </w:r>
                <w:r>
                  <w:rPr>
                    <w:b/>
                    <w:color w:val="FF0000"/>
                    <w:spacing w:val="-10"/>
                    <w:sz w:val="16"/>
                  </w:rPr>
                  <w:fldChar w:fldCharType="end"/>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43.369995pt;margin-top:788.881592pt;width:94.7pt;height:11pt;mso-position-horizontal-relative:page;mso-position-vertical-relative:page;z-index:-16566272" type="#_x0000_t202" id="docshape33" filled="false" stroked="false">
          <v:textbox inset="0,0,0,0">
            <w:txbxContent>
              <w:p>
                <w:pPr>
                  <w:spacing w:before="15"/>
                  <w:ind w:left="20" w:right="0" w:firstLine="0"/>
                  <w:jc w:val="left"/>
                  <w:rPr>
                    <w:b/>
                    <w:sz w:val="16"/>
                  </w:rPr>
                </w:pPr>
                <w:r>
                  <w:rPr>
                    <w:color w:val="808080"/>
                    <w:sz w:val="16"/>
                  </w:rPr>
                  <w:t>Draft</w:t>
                </w:r>
                <w:r>
                  <w:rPr>
                    <w:color w:val="808080"/>
                    <w:spacing w:val="-2"/>
                    <w:sz w:val="16"/>
                  </w:rPr>
                  <w:t> </w:t>
                </w:r>
                <w:r>
                  <w:rPr>
                    <w:color w:val="808080"/>
                    <w:sz w:val="16"/>
                  </w:rPr>
                  <w:t>May</w:t>
                </w:r>
                <w:r>
                  <w:rPr>
                    <w:color w:val="808080"/>
                    <w:spacing w:val="-3"/>
                    <w:sz w:val="16"/>
                  </w:rPr>
                  <w:t> </w:t>
                </w:r>
                <w:r>
                  <w:rPr>
                    <w:color w:val="808080"/>
                    <w:sz w:val="16"/>
                  </w:rPr>
                  <w:t>2021</w:t>
                </w:r>
                <w:r>
                  <w:rPr>
                    <w:color w:val="808080"/>
                    <w:spacing w:val="-2"/>
                    <w:sz w:val="16"/>
                  </w:rPr>
                  <w:t> </w:t>
                </w:r>
                <w:r>
                  <w:rPr>
                    <w:color w:val="808080"/>
                    <w:sz w:val="16"/>
                  </w:rPr>
                  <w:t>–</w:t>
                </w:r>
                <w:r>
                  <w:rPr>
                    <w:color w:val="808080"/>
                    <w:spacing w:val="-2"/>
                    <w:sz w:val="16"/>
                  </w:rPr>
                  <w:t> </w:t>
                </w:r>
                <w:r>
                  <w:rPr>
                    <w:color w:val="808080"/>
                    <w:sz w:val="16"/>
                  </w:rPr>
                  <w:t>page</w:t>
                </w:r>
                <w:r>
                  <w:rPr>
                    <w:color w:val="808080"/>
                    <w:spacing w:val="-2"/>
                    <w:sz w:val="16"/>
                  </w:rPr>
                  <w:t> </w:t>
                </w:r>
                <w:r>
                  <w:rPr>
                    <w:b/>
                    <w:color w:val="FF0000"/>
                    <w:spacing w:val="-5"/>
                    <w:sz w:val="16"/>
                  </w:rPr>
                  <w:t>15</w:t>
                </w:r>
              </w:p>
            </w:txbxContent>
          </v:textbox>
          <w10:wrap type="non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57.529999pt;margin-top:788.881592pt;width:94.7pt;height:11pt;mso-position-horizontal-relative:page;mso-position-vertical-relative:page;z-index:-16564736" type="#_x0000_t202" id="docshape35" filled="false" stroked="false">
          <v:textbox inset="0,0,0,0">
            <w:txbxContent>
              <w:p>
                <w:pPr>
                  <w:spacing w:before="15"/>
                  <w:ind w:left="20" w:right="0" w:firstLine="0"/>
                  <w:jc w:val="left"/>
                  <w:rPr>
                    <w:b/>
                    <w:sz w:val="16"/>
                  </w:rPr>
                </w:pPr>
                <w:r>
                  <w:rPr>
                    <w:color w:val="808080"/>
                    <w:sz w:val="16"/>
                  </w:rPr>
                  <w:t>Draft</w:t>
                </w:r>
                <w:r>
                  <w:rPr>
                    <w:color w:val="808080"/>
                    <w:spacing w:val="-2"/>
                    <w:sz w:val="16"/>
                  </w:rPr>
                  <w:t> </w:t>
                </w:r>
                <w:r>
                  <w:rPr>
                    <w:color w:val="808080"/>
                    <w:sz w:val="16"/>
                  </w:rPr>
                  <w:t>May</w:t>
                </w:r>
                <w:r>
                  <w:rPr>
                    <w:color w:val="808080"/>
                    <w:spacing w:val="-3"/>
                    <w:sz w:val="16"/>
                  </w:rPr>
                  <w:t> </w:t>
                </w:r>
                <w:r>
                  <w:rPr>
                    <w:color w:val="808080"/>
                    <w:sz w:val="16"/>
                  </w:rPr>
                  <w:t>2021</w:t>
                </w:r>
                <w:r>
                  <w:rPr>
                    <w:color w:val="808080"/>
                    <w:spacing w:val="-2"/>
                    <w:sz w:val="16"/>
                  </w:rPr>
                  <w:t> </w:t>
                </w:r>
                <w:r>
                  <w:rPr>
                    <w:color w:val="808080"/>
                    <w:sz w:val="16"/>
                  </w:rPr>
                  <w:t>–</w:t>
                </w:r>
                <w:r>
                  <w:rPr>
                    <w:color w:val="808080"/>
                    <w:spacing w:val="-2"/>
                    <w:sz w:val="16"/>
                  </w:rPr>
                  <w:t> </w:t>
                </w:r>
                <w:r>
                  <w:rPr>
                    <w:color w:val="808080"/>
                    <w:sz w:val="16"/>
                  </w:rPr>
                  <w:t>page</w:t>
                </w:r>
                <w:r>
                  <w:rPr>
                    <w:color w:val="808080"/>
                    <w:spacing w:val="-2"/>
                    <w:sz w:val="16"/>
                  </w:rPr>
                  <w:t> </w:t>
                </w:r>
                <w:r>
                  <w:rPr>
                    <w:b/>
                    <w:color w:val="FF0000"/>
                    <w:spacing w:val="-5"/>
                    <w:sz w:val="16"/>
                  </w:rPr>
                  <w:t>16</w:t>
                </w:r>
              </w:p>
            </w:txbxContent>
          </v:textbox>
          <w10:wrap type="non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43.369995pt;margin-top:788.881592pt;width:94.7pt;height:11pt;mso-position-horizontal-relative:page;mso-position-vertical-relative:page;z-index:-16563200" type="#_x0000_t202" id="docshape37" filled="false" stroked="false">
          <v:textbox inset="0,0,0,0">
            <w:txbxContent>
              <w:p>
                <w:pPr>
                  <w:spacing w:before="15"/>
                  <w:ind w:left="20" w:right="0" w:firstLine="0"/>
                  <w:jc w:val="left"/>
                  <w:rPr>
                    <w:b/>
                    <w:sz w:val="16"/>
                  </w:rPr>
                </w:pPr>
                <w:r>
                  <w:rPr>
                    <w:color w:val="808080"/>
                    <w:sz w:val="16"/>
                  </w:rPr>
                  <w:t>Draft</w:t>
                </w:r>
                <w:r>
                  <w:rPr>
                    <w:color w:val="808080"/>
                    <w:spacing w:val="-2"/>
                    <w:sz w:val="16"/>
                  </w:rPr>
                  <w:t> </w:t>
                </w:r>
                <w:r>
                  <w:rPr>
                    <w:color w:val="808080"/>
                    <w:sz w:val="16"/>
                  </w:rPr>
                  <w:t>May</w:t>
                </w:r>
                <w:r>
                  <w:rPr>
                    <w:color w:val="808080"/>
                    <w:spacing w:val="-3"/>
                    <w:sz w:val="16"/>
                  </w:rPr>
                  <w:t> </w:t>
                </w:r>
                <w:r>
                  <w:rPr>
                    <w:color w:val="808080"/>
                    <w:sz w:val="16"/>
                  </w:rPr>
                  <w:t>2021</w:t>
                </w:r>
                <w:r>
                  <w:rPr>
                    <w:color w:val="808080"/>
                    <w:spacing w:val="-2"/>
                    <w:sz w:val="16"/>
                  </w:rPr>
                  <w:t> </w:t>
                </w:r>
                <w:r>
                  <w:rPr>
                    <w:color w:val="808080"/>
                    <w:sz w:val="16"/>
                  </w:rPr>
                  <w:t>–</w:t>
                </w:r>
                <w:r>
                  <w:rPr>
                    <w:color w:val="808080"/>
                    <w:spacing w:val="-2"/>
                    <w:sz w:val="16"/>
                  </w:rPr>
                  <w:t> </w:t>
                </w:r>
                <w:r>
                  <w:rPr>
                    <w:color w:val="808080"/>
                    <w:sz w:val="16"/>
                  </w:rPr>
                  <w:t>page</w:t>
                </w:r>
                <w:r>
                  <w:rPr>
                    <w:color w:val="808080"/>
                    <w:spacing w:val="-2"/>
                    <w:sz w:val="16"/>
                  </w:rPr>
                  <w:t> </w:t>
                </w:r>
                <w:r>
                  <w:rPr>
                    <w:b/>
                    <w:color w:val="FF0000"/>
                    <w:spacing w:val="-5"/>
                    <w:sz w:val="16"/>
                  </w:rPr>
                  <w:t>17</w:t>
                </w:r>
              </w:p>
            </w:txbxContent>
          </v:textbox>
          <w10:wrap type="non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57.529999pt;margin-top:788.881592pt;width:94.7pt;height:11pt;mso-position-horizontal-relative:page;mso-position-vertical-relative:page;z-index:-16561664" type="#_x0000_t202" id="docshape39" filled="false" stroked="false">
          <v:textbox inset="0,0,0,0">
            <w:txbxContent>
              <w:p>
                <w:pPr>
                  <w:spacing w:before="15"/>
                  <w:ind w:left="20" w:right="0" w:firstLine="0"/>
                  <w:jc w:val="left"/>
                  <w:rPr>
                    <w:b/>
                    <w:sz w:val="16"/>
                  </w:rPr>
                </w:pPr>
                <w:r>
                  <w:rPr>
                    <w:color w:val="808080"/>
                    <w:sz w:val="16"/>
                  </w:rPr>
                  <w:t>Draft</w:t>
                </w:r>
                <w:r>
                  <w:rPr>
                    <w:color w:val="808080"/>
                    <w:spacing w:val="-2"/>
                    <w:sz w:val="16"/>
                  </w:rPr>
                  <w:t> </w:t>
                </w:r>
                <w:r>
                  <w:rPr>
                    <w:color w:val="808080"/>
                    <w:sz w:val="16"/>
                  </w:rPr>
                  <w:t>May</w:t>
                </w:r>
                <w:r>
                  <w:rPr>
                    <w:color w:val="808080"/>
                    <w:spacing w:val="-3"/>
                    <w:sz w:val="16"/>
                  </w:rPr>
                  <w:t> </w:t>
                </w:r>
                <w:r>
                  <w:rPr>
                    <w:color w:val="808080"/>
                    <w:sz w:val="16"/>
                  </w:rPr>
                  <w:t>2021</w:t>
                </w:r>
                <w:r>
                  <w:rPr>
                    <w:color w:val="808080"/>
                    <w:spacing w:val="-2"/>
                    <w:sz w:val="16"/>
                  </w:rPr>
                  <w:t> </w:t>
                </w:r>
                <w:r>
                  <w:rPr>
                    <w:color w:val="808080"/>
                    <w:sz w:val="16"/>
                  </w:rPr>
                  <w:t>–</w:t>
                </w:r>
                <w:r>
                  <w:rPr>
                    <w:color w:val="808080"/>
                    <w:spacing w:val="-2"/>
                    <w:sz w:val="16"/>
                  </w:rPr>
                  <w:t> </w:t>
                </w:r>
                <w:r>
                  <w:rPr>
                    <w:color w:val="808080"/>
                    <w:sz w:val="16"/>
                  </w:rPr>
                  <w:t>page</w:t>
                </w:r>
                <w:r>
                  <w:rPr>
                    <w:color w:val="808080"/>
                    <w:spacing w:val="-2"/>
                    <w:sz w:val="16"/>
                  </w:rPr>
                  <w:t> </w:t>
                </w:r>
                <w:r>
                  <w:rPr>
                    <w:b/>
                    <w:color w:val="FF0000"/>
                    <w:spacing w:val="-5"/>
                    <w:sz w:val="16"/>
                  </w:rPr>
                  <w:t>18</w:t>
                </w:r>
              </w:p>
            </w:txbxContent>
          </v:textbox>
          <w10:wrap type="non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43.369995pt;margin-top:788.881592pt;width:94.7pt;height:11pt;mso-position-horizontal-relative:page;mso-position-vertical-relative:page;z-index:-16560128" type="#_x0000_t202" id="docshape43" filled="false" stroked="false">
          <v:textbox inset="0,0,0,0">
            <w:txbxContent>
              <w:p>
                <w:pPr>
                  <w:spacing w:before="15"/>
                  <w:ind w:left="20" w:right="0" w:firstLine="0"/>
                  <w:jc w:val="left"/>
                  <w:rPr>
                    <w:b/>
                    <w:sz w:val="16"/>
                  </w:rPr>
                </w:pPr>
                <w:r>
                  <w:rPr>
                    <w:color w:val="808080"/>
                    <w:sz w:val="16"/>
                  </w:rPr>
                  <w:t>Draft</w:t>
                </w:r>
                <w:r>
                  <w:rPr>
                    <w:color w:val="808080"/>
                    <w:spacing w:val="-2"/>
                    <w:sz w:val="16"/>
                  </w:rPr>
                  <w:t> </w:t>
                </w:r>
                <w:r>
                  <w:rPr>
                    <w:color w:val="808080"/>
                    <w:sz w:val="16"/>
                  </w:rPr>
                  <w:t>May</w:t>
                </w:r>
                <w:r>
                  <w:rPr>
                    <w:color w:val="808080"/>
                    <w:spacing w:val="-3"/>
                    <w:sz w:val="16"/>
                  </w:rPr>
                  <w:t> </w:t>
                </w:r>
                <w:r>
                  <w:rPr>
                    <w:color w:val="808080"/>
                    <w:sz w:val="16"/>
                  </w:rPr>
                  <w:t>2021</w:t>
                </w:r>
                <w:r>
                  <w:rPr>
                    <w:color w:val="808080"/>
                    <w:spacing w:val="-2"/>
                    <w:sz w:val="16"/>
                  </w:rPr>
                  <w:t> </w:t>
                </w:r>
                <w:r>
                  <w:rPr>
                    <w:color w:val="808080"/>
                    <w:sz w:val="16"/>
                  </w:rPr>
                  <w:t>–</w:t>
                </w:r>
                <w:r>
                  <w:rPr>
                    <w:color w:val="808080"/>
                    <w:spacing w:val="-2"/>
                    <w:sz w:val="16"/>
                  </w:rPr>
                  <w:t> </w:t>
                </w:r>
                <w:r>
                  <w:rPr>
                    <w:color w:val="808080"/>
                    <w:sz w:val="16"/>
                  </w:rPr>
                  <w:t>page</w:t>
                </w:r>
                <w:r>
                  <w:rPr>
                    <w:color w:val="808080"/>
                    <w:spacing w:val="-2"/>
                    <w:sz w:val="16"/>
                  </w:rPr>
                  <w:t> </w:t>
                </w:r>
                <w:r>
                  <w:rPr>
                    <w:b/>
                    <w:color w:val="FF0000"/>
                    <w:spacing w:val="-5"/>
                    <w:sz w:val="16"/>
                  </w:rPr>
                  <w:t>19</w:t>
                </w:r>
              </w:p>
            </w:txbxContent>
          </v:textbox>
          <w10:wrap type="non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57.529999pt;margin-top:788.881592pt;width:94.7pt;height:11pt;mso-position-horizontal-relative:page;mso-position-vertical-relative:page;z-index:-16558592" type="#_x0000_t202" id="docshape45" filled="false" stroked="false">
          <v:textbox inset="0,0,0,0">
            <w:txbxContent>
              <w:p>
                <w:pPr>
                  <w:spacing w:before="15"/>
                  <w:ind w:left="20" w:right="0" w:firstLine="0"/>
                  <w:jc w:val="left"/>
                  <w:rPr>
                    <w:b/>
                    <w:sz w:val="16"/>
                  </w:rPr>
                </w:pPr>
                <w:r>
                  <w:rPr>
                    <w:color w:val="808080"/>
                    <w:sz w:val="16"/>
                  </w:rPr>
                  <w:t>Draft</w:t>
                </w:r>
                <w:r>
                  <w:rPr>
                    <w:color w:val="808080"/>
                    <w:spacing w:val="-2"/>
                    <w:sz w:val="16"/>
                  </w:rPr>
                  <w:t> </w:t>
                </w:r>
                <w:r>
                  <w:rPr>
                    <w:color w:val="808080"/>
                    <w:sz w:val="16"/>
                  </w:rPr>
                  <w:t>May</w:t>
                </w:r>
                <w:r>
                  <w:rPr>
                    <w:color w:val="808080"/>
                    <w:spacing w:val="-3"/>
                    <w:sz w:val="16"/>
                  </w:rPr>
                  <w:t> </w:t>
                </w:r>
                <w:r>
                  <w:rPr>
                    <w:color w:val="808080"/>
                    <w:sz w:val="16"/>
                  </w:rPr>
                  <w:t>2021</w:t>
                </w:r>
                <w:r>
                  <w:rPr>
                    <w:color w:val="808080"/>
                    <w:spacing w:val="-2"/>
                    <w:sz w:val="16"/>
                  </w:rPr>
                  <w:t> </w:t>
                </w:r>
                <w:r>
                  <w:rPr>
                    <w:color w:val="808080"/>
                    <w:sz w:val="16"/>
                  </w:rPr>
                  <w:t>–</w:t>
                </w:r>
                <w:r>
                  <w:rPr>
                    <w:color w:val="808080"/>
                    <w:spacing w:val="-2"/>
                    <w:sz w:val="16"/>
                  </w:rPr>
                  <w:t> </w:t>
                </w:r>
                <w:r>
                  <w:rPr>
                    <w:color w:val="808080"/>
                    <w:sz w:val="16"/>
                  </w:rPr>
                  <w:t>page</w:t>
                </w:r>
                <w:r>
                  <w:rPr>
                    <w:color w:val="808080"/>
                    <w:spacing w:val="-2"/>
                    <w:sz w:val="16"/>
                  </w:rPr>
                  <w:t> </w:t>
                </w:r>
                <w:r>
                  <w:rPr>
                    <w:b/>
                    <w:color w:val="FF0000"/>
                    <w:spacing w:val="-5"/>
                    <w:sz w:val="16"/>
                  </w:rPr>
                  <w:t>20</w:t>
                </w:r>
              </w:p>
            </w:txbxContent>
          </v:textbox>
          <w10:wrap type="non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43.369995pt;margin-top:788.881592pt;width:94.7pt;height:11pt;mso-position-horizontal-relative:page;mso-position-vertical-relative:page;z-index:-16557056" type="#_x0000_t202" id="docshape47" filled="false" stroked="false">
          <v:textbox inset="0,0,0,0">
            <w:txbxContent>
              <w:p>
                <w:pPr>
                  <w:spacing w:before="15"/>
                  <w:ind w:left="20" w:right="0" w:firstLine="0"/>
                  <w:jc w:val="left"/>
                  <w:rPr>
                    <w:b/>
                    <w:sz w:val="16"/>
                  </w:rPr>
                </w:pPr>
                <w:r>
                  <w:rPr>
                    <w:color w:val="808080"/>
                    <w:sz w:val="16"/>
                  </w:rPr>
                  <w:t>Draft</w:t>
                </w:r>
                <w:r>
                  <w:rPr>
                    <w:color w:val="808080"/>
                    <w:spacing w:val="-2"/>
                    <w:sz w:val="16"/>
                  </w:rPr>
                  <w:t> </w:t>
                </w:r>
                <w:r>
                  <w:rPr>
                    <w:color w:val="808080"/>
                    <w:sz w:val="16"/>
                  </w:rPr>
                  <w:t>May</w:t>
                </w:r>
                <w:r>
                  <w:rPr>
                    <w:color w:val="808080"/>
                    <w:spacing w:val="-3"/>
                    <w:sz w:val="16"/>
                  </w:rPr>
                  <w:t> </w:t>
                </w:r>
                <w:r>
                  <w:rPr>
                    <w:color w:val="808080"/>
                    <w:sz w:val="16"/>
                  </w:rPr>
                  <w:t>2021</w:t>
                </w:r>
                <w:r>
                  <w:rPr>
                    <w:color w:val="808080"/>
                    <w:spacing w:val="-2"/>
                    <w:sz w:val="16"/>
                  </w:rPr>
                  <w:t> </w:t>
                </w:r>
                <w:r>
                  <w:rPr>
                    <w:color w:val="808080"/>
                    <w:sz w:val="16"/>
                  </w:rPr>
                  <w:t>–</w:t>
                </w:r>
                <w:r>
                  <w:rPr>
                    <w:color w:val="808080"/>
                    <w:spacing w:val="-2"/>
                    <w:sz w:val="16"/>
                  </w:rPr>
                  <w:t> </w:t>
                </w:r>
                <w:r>
                  <w:rPr>
                    <w:color w:val="808080"/>
                    <w:sz w:val="16"/>
                  </w:rPr>
                  <w:t>page</w:t>
                </w:r>
                <w:r>
                  <w:rPr>
                    <w:color w:val="808080"/>
                    <w:spacing w:val="-2"/>
                    <w:sz w:val="16"/>
                  </w:rPr>
                  <w:t> </w:t>
                </w:r>
                <w:r>
                  <w:rPr>
                    <w:b/>
                    <w:color w:val="FF0000"/>
                    <w:spacing w:val="-5"/>
                    <w:sz w:val="16"/>
                  </w:rPr>
                  <w:t>21</w:t>
                </w:r>
              </w:p>
            </w:txbxContent>
          </v:textbox>
          <w10:wrap type="non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57.529999pt;margin-top:788.881592pt;width:94.7pt;height:11pt;mso-position-horizontal-relative:page;mso-position-vertical-relative:page;z-index:-16555520" type="#_x0000_t202" id="docshape49" filled="false" stroked="false">
          <v:textbox inset="0,0,0,0">
            <w:txbxContent>
              <w:p>
                <w:pPr>
                  <w:spacing w:before="15"/>
                  <w:ind w:left="20" w:right="0" w:firstLine="0"/>
                  <w:jc w:val="left"/>
                  <w:rPr>
                    <w:b/>
                    <w:sz w:val="16"/>
                  </w:rPr>
                </w:pPr>
                <w:r>
                  <w:rPr>
                    <w:color w:val="808080"/>
                    <w:sz w:val="16"/>
                  </w:rPr>
                  <w:t>Draft</w:t>
                </w:r>
                <w:r>
                  <w:rPr>
                    <w:color w:val="808080"/>
                    <w:spacing w:val="-2"/>
                    <w:sz w:val="16"/>
                  </w:rPr>
                  <w:t> </w:t>
                </w:r>
                <w:r>
                  <w:rPr>
                    <w:color w:val="808080"/>
                    <w:sz w:val="16"/>
                  </w:rPr>
                  <w:t>May</w:t>
                </w:r>
                <w:r>
                  <w:rPr>
                    <w:color w:val="808080"/>
                    <w:spacing w:val="-3"/>
                    <w:sz w:val="16"/>
                  </w:rPr>
                  <w:t> </w:t>
                </w:r>
                <w:r>
                  <w:rPr>
                    <w:color w:val="808080"/>
                    <w:sz w:val="16"/>
                  </w:rPr>
                  <w:t>2021</w:t>
                </w:r>
                <w:r>
                  <w:rPr>
                    <w:color w:val="808080"/>
                    <w:spacing w:val="-2"/>
                    <w:sz w:val="16"/>
                  </w:rPr>
                  <w:t> </w:t>
                </w:r>
                <w:r>
                  <w:rPr>
                    <w:color w:val="808080"/>
                    <w:sz w:val="16"/>
                  </w:rPr>
                  <w:t>–</w:t>
                </w:r>
                <w:r>
                  <w:rPr>
                    <w:color w:val="808080"/>
                    <w:spacing w:val="-2"/>
                    <w:sz w:val="16"/>
                  </w:rPr>
                  <w:t> </w:t>
                </w:r>
                <w:r>
                  <w:rPr>
                    <w:color w:val="808080"/>
                    <w:sz w:val="16"/>
                  </w:rPr>
                  <w:t>page</w:t>
                </w:r>
                <w:r>
                  <w:rPr>
                    <w:color w:val="808080"/>
                    <w:spacing w:val="-2"/>
                    <w:sz w:val="16"/>
                  </w:rPr>
                  <w:t> </w:t>
                </w:r>
                <w:r>
                  <w:rPr>
                    <w:b/>
                    <w:color w:val="FF0000"/>
                    <w:spacing w:val="-5"/>
                    <w:sz w:val="16"/>
                  </w:rPr>
                  <w:t>22</w:t>
                </w:r>
              </w:p>
            </w:txbxContent>
          </v:textbox>
          <w10:wrap type="non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43.369995pt;margin-top:788.881592pt;width:94.7pt;height:11pt;mso-position-horizontal-relative:page;mso-position-vertical-relative:page;z-index:-16553984" type="#_x0000_t202" id="docshape51" filled="false" stroked="false">
          <v:textbox inset="0,0,0,0">
            <w:txbxContent>
              <w:p>
                <w:pPr>
                  <w:spacing w:before="15"/>
                  <w:ind w:left="20" w:right="0" w:firstLine="0"/>
                  <w:jc w:val="left"/>
                  <w:rPr>
                    <w:b/>
                    <w:sz w:val="16"/>
                  </w:rPr>
                </w:pPr>
                <w:r>
                  <w:rPr>
                    <w:color w:val="808080"/>
                    <w:sz w:val="16"/>
                  </w:rPr>
                  <w:t>Draft</w:t>
                </w:r>
                <w:r>
                  <w:rPr>
                    <w:color w:val="808080"/>
                    <w:spacing w:val="-2"/>
                    <w:sz w:val="16"/>
                  </w:rPr>
                  <w:t> </w:t>
                </w:r>
                <w:r>
                  <w:rPr>
                    <w:color w:val="808080"/>
                    <w:sz w:val="16"/>
                  </w:rPr>
                  <w:t>May</w:t>
                </w:r>
                <w:r>
                  <w:rPr>
                    <w:color w:val="808080"/>
                    <w:spacing w:val="-3"/>
                    <w:sz w:val="16"/>
                  </w:rPr>
                  <w:t> </w:t>
                </w:r>
                <w:r>
                  <w:rPr>
                    <w:color w:val="808080"/>
                    <w:sz w:val="16"/>
                  </w:rPr>
                  <w:t>2021</w:t>
                </w:r>
                <w:r>
                  <w:rPr>
                    <w:color w:val="808080"/>
                    <w:spacing w:val="-2"/>
                    <w:sz w:val="16"/>
                  </w:rPr>
                  <w:t> </w:t>
                </w:r>
                <w:r>
                  <w:rPr>
                    <w:color w:val="808080"/>
                    <w:sz w:val="16"/>
                  </w:rPr>
                  <w:t>–</w:t>
                </w:r>
                <w:r>
                  <w:rPr>
                    <w:color w:val="808080"/>
                    <w:spacing w:val="-2"/>
                    <w:sz w:val="16"/>
                  </w:rPr>
                  <w:t> </w:t>
                </w:r>
                <w:r>
                  <w:rPr>
                    <w:color w:val="808080"/>
                    <w:sz w:val="16"/>
                  </w:rPr>
                  <w:t>page</w:t>
                </w:r>
                <w:r>
                  <w:rPr>
                    <w:color w:val="808080"/>
                    <w:spacing w:val="-2"/>
                    <w:sz w:val="16"/>
                  </w:rPr>
                  <w:t> </w:t>
                </w:r>
                <w:r>
                  <w:rPr>
                    <w:b/>
                    <w:color w:val="FF0000"/>
                    <w:spacing w:val="-5"/>
                    <w:sz w:val="16"/>
                  </w:rPr>
                  <w:t>23</w:t>
                </w:r>
              </w:p>
            </w:txbxContent>
          </v:textbox>
          <w10:wrap type="non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57.529999pt;margin-top:788.881592pt;width:94.7pt;height:11pt;mso-position-horizontal-relative:page;mso-position-vertical-relative:page;z-index:-16552448" type="#_x0000_t202" id="docshape53" filled="false" stroked="false">
          <v:textbox inset="0,0,0,0">
            <w:txbxContent>
              <w:p>
                <w:pPr>
                  <w:spacing w:before="15"/>
                  <w:ind w:left="20" w:right="0" w:firstLine="0"/>
                  <w:jc w:val="left"/>
                  <w:rPr>
                    <w:b/>
                    <w:sz w:val="16"/>
                  </w:rPr>
                </w:pPr>
                <w:r>
                  <w:rPr>
                    <w:color w:val="808080"/>
                    <w:sz w:val="16"/>
                  </w:rPr>
                  <w:t>Draft</w:t>
                </w:r>
                <w:r>
                  <w:rPr>
                    <w:color w:val="808080"/>
                    <w:spacing w:val="-2"/>
                    <w:sz w:val="16"/>
                  </w:rPr>
                  <w:t> </w:t>
                </w:r>
                <w:r>
                  <w:rPr>
                    <w:color w:val="808080"/>
                    <w:sz w:val="16"/>
                  </w:rPr>
                  <w:t>May</w:t>
                </w:r>
                <w:r>
                  <w:rPr>
                    <w:color w:val="808080"/>
                    <w:spacing w:val="-3"/>
                    <w:sz w:val="16"/>
                  </w:rPr>
                  <w:t> </w:t>
                </w:r>
                <w:r>
                  <w:rPr>
                    <w:color w:val="808080"/>
                    <w:sz w:val="16"/>
                  </w:rPr>
                  <w:t>2021</w:t>
                </w:r>
                <w:r>
                  <w:rPr>
                    <w:color w:val="808080"/>
                    <w:spacing w:val="-2"/>
                    <w:sz w:val="16"/>
                  </w:rPr>
                  <w:t> </w:t>
                </w:r>
                <w:r>
                  <w:rPr>
                    <w:color w:val="808080"/>
                    <w:sz w:val="16"/>
                  </w:rPr>
                  <w:t>–</w:t>
                </w:r>
                <w:r>
                  <w:rPr>
                    <w:color w:val="808080"/>
                    <w:spacing w:val="-2"/>
                    <w:sz w:val="16"/>
                  </w:rPr>
                  <w:t> </w:t>
                </w:r>
                <w:r>
                  <w:rPr>
                    <w:color w:val="808080"/>
                    <w:sz w:val="16"/>
                  </w:rPr>
                  <w:t>page</w:t>
                </w:r>
                <w:r>
                  <w:rPr>
                    <w:color w:val="808080"/>
                    <w:spacing w:val="-2"/>
                    <w:sz w:val="16"/>
                  </w:rPr>
                  <w:t> </w:t>
                </w:r>
                <w:r>
                  <w:rPr>
                    <w:b/>
                    <w:color w:val="FF0000"/>
                    <w:spacing w:val="-5"/>
                    <w:sz w:val="16"/>
                  </w:rPr>
                  <w:t>24</w:t>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57.529999pt;margin-top:788.881592pt;width:93.25pt;height:11pt;mso-position-horizontal-relative:page;mso-position-vertical-relative:page;z-index:-16579072" type="#_x0000_t202" id="docshape11" filled="false" stroked="false">
          <v:textbox inset="0,0,0,0">
            <w:txbxContent>
              <w:p>
                <w:pPr>
                  <w:spacing w:before="15"/>
                  <w:ind w:left="20" w:right="0" w:firstLine="0"/>
                  <w:jc w:val="left"/>
                  <w:rPr>
                    <w:b/>
                    <w:sz w:val="16"/>
                  </w:rPr>
                </w:pPr>
                <w:r>
                  <w:rPr>
                    <w:color w:val="808080"/>
                    <w:sz w:val="16"/>
                  </w:rPr>
                  <w:t>Draft</w:t>
                </w:r>
                <w:r>
                  <w:rPr>
                    <w:color w:val="808080"/>
                    <w:spacing w:val="-2"/>
                    <w:sz w:val="16"/>
                  </w:rPr>
                  <w:t> </w:t>
                </w:r>
                <w:r>
                  <w:rPr>
                    <w:color w:val="808080"/>
                    <w:sz w:val="16"/>
                  </w:rPr>
                  <w:t>May</w:t>
                </w:r>
                <w:r>
                  <w:rPr>
                    <w:color w:val="808080"/>
                    <w:spacing w:val="-3"/>
                    <w:sz w:val="16"/>
                  </w:rPr>
                  <w:t> </w:t>
                </w:r>
                <w:r>
                  <w:rPr>
                    <w:color w:val="808080"/>
                    <w:sz w:val="16"/>
                  </w:rPr>
                  <w:t>2021</w:t>
                </w:r>
                <w:r>
                  <w:rPr>
                    <w:color w:val="808080"/>
                    <w:spacing w:val="-2"/>
                    <w:sz w:val="16"/>
                  </w:rPr>
                  <w:t> </w:t>
                </w:r>
                <w:r>
                  <w:rPr>
                    <w:color w:val="808080"/>
                    <w:sz w:val="16"/>
                  </w:rPr>
                  <w:t>–</w:t>
                </w:r>
                <w:r>
                  <w:rPr>
                    <w:color w:val="808080"/>
                    <w:spacing w:val="-2"/>
                    <w:sz w:val="16"/>
                  </w:rPr>
                  <w:t> </w:t>
                </w:r>
                <w:r>
                  <w:rPr>
                    <w:color w:val="808080"/>
                    <w:sz w:val="16"/>
                  </w:rPr>
                  <w:t>page</w:t>
                </w:r>
                <w:r>
                  <w:rPr>
                    <w:color w:val="808080"/>
                    <w:spacing w:val="-2"/>
                    <w:sz w:val="16"/>
                  </w:rPr>
                  <w:t> </w:t>
                </w:r>
                <w:r>
                  <w:rPr>
                    <w:b/>
                    <w:color w:val="FF0000"/>
                    <w:spacing w:val="-10"/>
                    <w:sz w:val="16"/>
                  </w:rPr>
                  <w:fldChar w:fldCharType="begin"/>
                </w:r>
                <w:r>
                  <w:rPr>
                    <w:b/>
                    <w:color w:val="FF0000"/>
                    <w:spacing w:val="-10"/>
                    <w:sz w:val="16"/>
                  </w:rPr>
                  <w:instrText> PAGE </w:instrText>
                </w:r>
                <w:r>
                  <w:rPr>
                    <w:b/>
                    <w:color w:val="FF0000"/>
                    <w:spacing w:val="-10"/>
                    <w:sz w:val="16"/>
                  </w:rPr>
                  <w:fldChar w:fldCharType="separate"/>
                </w:r>
                <w:r>
                  <w:rPr>
                    <w:b/>
                    <w:color w:val="FF0000"/>
                    <w:spacing w:val="-10"/>
                    <w:sz w:val="16"/>
                  </w:rPr>
                  <w:t>2</w:t>
                </w:r>
                <w:r>
                  <w:rPr>
                    <w:b/>
                    <w:color w:val="FF0000"/>
                    <w:spacing w:val="-10"/>
                    <w:sz w:val="16"/>
                  </w:rPr>
                  <w:fldChar w:fldCharType="end"/>
                </w:r>
              </w:p>
            </w:txbxContent>
          </v:textbox>
          <w10:wrap type="non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43.369995pt;margin-top:788.881592pt;width:94.7pt;height:11pt;mso-position-horizontal-relative:page;mso-position-vertical-relative:page;z-index:-16550912" type="#_x0000_t202" id="docshape55" filled="false" stroked="false">
          <v:textbox inset="0,0,0,0">
            <w:txbxContent>
              <w:p>
                <w:pPr>
                  <w:spacing w:before="15"/>
                  <w:ind w:left="20" w:right="0" w:firstLine="0"/>
                  <w:jc w:val="left"/>
                  <w:rPr>
                    <w:b/>
                    <w:sz w:val="16"/>
                  </w:rPr>
                </w:pPr>
                <w:r>
                  <w:rPr>
                    <w:color w:val="808080"/>
                    <w:sz w:val="16"/>
                  </w:rPr>
                  <w:t>Draft</w:t>
                </w:r>
                <w:r>
                  <w:rPr>
                    <w:color w:val="808080"/>
                    <w:spacing w:val="-2"/>
                    <w:sz w:val="16"/>
                  </w:rPr>
                  <w:t> </w:t>
                </w:r>
                <w:r>
                  <w:rPr>
                    <w:color w:val="808080"/>
                    <w:sz w:val="16"/>
                  </w:rPr>
                  <w:t>May</w:t>
                </w:r>
                <w:r>
                  <w:rPr>
                    <w:color w:val="808080"/>
                    <w:spacing w:val="-3"/>
                    <w:sz w:val="16"/>
                  </w:rPr>
                  <w:t> </w:t>
                </w:r>
                <w:r>
                  <w:rPr>
                    <w:color w:val="808080"/>
                    <w:sz w:val="16"/>
                  </w:rPr>
                  <w:t>2021</w:t>
                </w:r>
                <w:r>
                  <w:rPr>
                    <w:color w:val="808080"/>
                    <w:spacing w:val="-2"/>
                    <w:sz w:val="16"/>
                  </w:rPr>
                  <w:t> </w:t>
                </w:r>
                <w:r>
                  <w:rPr>
                    <w:color w:val="808080"/>
                    <w:sz w:val="16"/>
                  </w:rPr>
                  <w:t>–</w:t>
                </w:r>
                <w:r>
                  <w:rPr>
                    <w:color w:val="808080"/>
                    <w:spacing w:val="-2"/>
                    <w:sz w:val="16"/>
                  </w:rPr>
                  <w:t> </w:t>
                </w:r>
                <w:r>
                  <w:rPr>
                    <w:color w:val="808080"/>
                    <w:sz w:val="16"/>
                  </w:rPr>
                  <w:t>page</w:t>
                </w:r>
                <w:r>
                  <w:rPr>
                    <w:color w:val="808080"/>
                    <w:spacing w:val="-2"/>
                    <w:sz w:val="16"/>
                  </w:rPr>
                  <w:t> </w:t>
                </w:r>
                <w:r>
                  <w:rPr>
                    <w:b/>
                    <w:color w:val="FF0000"/>
                    <w:spacing w:val="-5"/>
                    <w:sz w:val="16"/>
                  </w:rPr>
                  <w:t>25</w:t>
                </w:r>
              </w:p>
            </w:txbxContent>
          </v:textbox>
          <w10:wrap type="none"/>
        </v:shape>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57.529999pt;margin-top:788.881592pt;width:94.7pt;height:11pt;mso-position-horizontal-relative:page;mso-position-vertical-relative:page;z-index:-16549376" type="#_x0000_t202" id="docshape57" filled="false" stroked="false">
          <v:textbox inset="0,0,0,0">
            <w:txbxContent>
              <w:p>
                <w:pPr>
                  <w:spacing w:before="15"/>
                  <w:ind w:left="20" w:right="0" w:firstLine="0"/>
                  <w:jc w:val="left"/>
                  <w:rPr>
                    <w:b/>
                    <w:sz w:val="16"/>
                  </w:rPr>
                </w:pPr>
                <w:r>
                  <w:rPr>
                    <w:color w:val="808080"/>
                    <w:sz w:val="16"/>
                  </w:rPr>
                  <w:t>Draft</w:t>
                </w:r>
                <w:r>
                  <w:rPr>
                    <w:color w:val="808080"/>
                    <w:spacing w:val="-2"/>
                    <w:sz w:val="16"/>
                  </w:rPr>
                  <w:t> </w:t>
                </w:r>
                <w:r>
                  <w:rPr>
                    <w:color w:val="808080"/>
                    <w:sz w:val="16"/>
                  </w:rPr>
                  <w:t>May</w:t>
                </w:r>
                <w:r>
                  <w:rPr>
                    <w:color w:val="808080"/>
                    <w:spacing w:val="-3"/>
                    <w:sz w:val="16"/>
                  </w:rPr>
                  <w:t> </w:t>
                </w:r>
                <w:r>
                  <w:rPr>
                    <w:color w:val="808080"/>
                    <w:sz w:val="16"/>
                  </w:rPr>
                  <w:t>2021</w:t>
                </w:r>
                <w:r>
                  <w:rPr>
                    <w:color w:val="808080"/>
                    <w:spacing w:val="-2"/>
                    <w:sz w:val="16"/>
                  </w:rPr>
                  <w:t> </w:t>
                </w:r>
                <w:r>
                  <w:rPr>
                    <w:color w:val="808080"/>
                    <w:sz w:val="16"/>
                  </w:rPr>
                  <w:t>–</w:t>
                </w:r>
                <w:r>
                  <w:rPr>
                    <w:color w:val="808080"/>
                    <w:spacing w:val="-2"/>
                    <w:sz w:val="16"/>
                  </w:rPr>
                  <w:t> </w:t>
                </w:r>
                <w:r>
                  <w:rPr>
                    <w:color w:val="808080"/>
                    <w:sz w:val="16"/>
                  </w:rPr>
                  <w:t>page</w:t>
                </w:r>
                <w:r>
                  <w:rPr>
                    <w:color w:val="808080"/>
                    <w:spacing w:val="-2"/>
                    <w:sz w:val="16"/>
                  </w:rPr>
                  <w:t> </w:t>
                </w:r>
                <w:r>
                  <w:rPr>
                    <w:b/>
                    <w:color w:val="FF0000"/>
                    <w:spacing w:val="-5"/>
                    <w:sz w:val="16"/>
                  </w:rPr>
                  <w:t>26</w:t>
                </w:r>
              </w:p>
            </w:txbxContent>
          </v:textbox>
          <w10:wrap type="none"/>
        </v:shape>
      </w:pic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43.369995pt;margin-top:788.881592pt;width:94.7pt;height:11pt;mso-position-horizontal-relative:page;mso-position-vertical-relative:page;z-index:-16547840" type="#_x0000_t202" id="docshape59" filled="false" stroked="false">
          <v:textbox inset="0,0,0,0">
            <w:txbxContent>
              <w:p>
                <w:pPr>
                  <w:spacing w:before="15"/>
                  <w:ind w:left="20" w:right="0" w:firstLine="0"/>
                  <w:jc w:val="left"/>
                  <w:rPr>
                    <w:b/>
                    <w:sz w:val="16"/>
                  </w:rPr>
                </w:pPr>
                <w:r>
                  <w:rPr>
                    <w:color w:val="808080"/>
                    <w:sz w:val="16"/>
                  </w:rPr>
                  <w:t>Draft</w:t>
                </w:r>
                <w:r>
                  <w:rPr>
                    <w:color w:val="808080"/>
                    <w:spacing w:val="-2"/>
                    <w:sz w:val="16"/>
                  </w:rPr>
                  <w:t> </w:t>
                </w:r>
                <w:r>
                  <w:rPr>
                    <w:color w:val="808080"/>
                    <w:sz w:val="16"/>
                  </w:rPr>
                  <w:t>May</w:t>
                </w:r>
                <w:r>
                  <w:rPr>
                    <w:color w:val="808080"/>
                    <w:spacing w:val="-3"/>
                    <w:sz w:val="16"/>
                  </w:rPr>
                  <w:t> </w:t>
                </w:r>
                <w:r>
                  <w:rPr>
                    <w:color w:val="808080"/>
                    <w:sz w:val="16"/>
                  </w:rPr>
                  <w:t>2021</w:t>
                </w:r>
                <w:r>
                  <w:rPr>
                    <w:color w:val="808080"/>
                    <w:spacing w:val="-2"/>
                    <w:sz w:val="16"/>
                  </w:rPr>
                  <w:t> </w:t>
                </w:r>
                <w:r>
                  <w:rPr>
                    <w:color w:val="808080"/>
                    <w:sz w:val="16"/>
                  </w:rPr>
                  <w:t>–</w:t>
                </w:r>
                <w:r>
                  <w:rPr>
                    <w:color w:val="808080"/>
                    <w:spacing w:val="-2"/>
                    <w:sz w:val="16"/>
                  </w:rPr>
                  <w:t> </w:t>
                </w:r>
                <w:r>
                  <w:rPr>
                    <w:color w:val="808080"/>
                    <w:sz w:val="16"/>
                  </w:rPr>
                  <w:t>page</w:t>
                </w:r>
                <w:r>
                  <w:rPr>
                    <w:color w:val="808080"/>
                    <w:spacing w:val="-2"/>
                    <w:sz w:val="16"/>
                  </w:rPr>
                  <w:t> </w:t>
                </w:r>
                <w:r>
                  <w:rPr>
                    <w:b/>
                    <w:color w:val="FF0000"/>
                    <w:spacing w:val="-5"/>
                    <w:sz w:val="16"/>
                  </w:rPr>
                  <w:t>27</w:t>
                </w:r>
              </w:p>
            </w:txbxContent>
          </v:textbox>
          <w10:wrap type="none"/>
        </v:shape>
      </w:pic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57.529999pt;margin-top:788.881592pt;width:94.7pt;height:11pt;mso-position-horizontal-relative:page;mso-position-vertical-relative:page;z-index:-16546304" type="#_x0000_t202" id="docshape61" filled="false" stroked="false">
          <v:textbox inset="0,0,0,0">
            <w:txbxContent>
              <w:p>
                <w:pPr>
                  <w:spacing w:before="15"/>
                  <w:ind w:left="20" w:right="0" w:firstLine="0"/>
                  <w:jc w:val="left"/>
                  <w:rPr>
                    <w:b/>
                    <w:sz w:val="16"/>
                  </w:rPr>
                </w:pPr>
                <w:r>
                  <w:rPr>
                    <w:color w:val="808080"/>
                    <w:sz w:val="16"/>
                  </w:rPr>
                  <w:t>Draft</w:t>
                </w:r>
                <w:r>
                  <w:rPr>
                    <w:color w:val="808080"/>
                    <w:spacing w:val="-2"/>
                    <w:sz w:val="16"/>
                  </w:rPr>
                  <w:t> </w:t>
                </w:r>
                <w:r>
                  <w:rPr>
                    <w:color w:val="808080"/>
                    <w:sz w:val="16"/>
                  </w:rPr>
                  <w:t>May</w:t>
                </w:r>
                <w:r>
                  <w:rPr>
                    <w:color w:val="808080"/>
                    <w:spacing w:val="-3"/>
                    <w:sz w:val="16"/>
                  </w:rPr>
                  <w:t> </w:t>
                </w:r>
                <w:r>
                  <w:rPr>
                    <w:color w:val="808080"/>
                    <w:sz w:val="16"/>
                  </w:rPr>
                  <w:t>2021</w:t>
                </w:r>
                <w:r>
                  <w:rPr>
                    <w:color w:val="808080"/>
                    <w:spacing w:val="-2"/>
                    <w:sz w:val="16"/>
                  </w:rPr>
                  <w:t> </w:t>
                </w:r>
                <w:r>
                  <w:rPr>
                    <w:color w:val="808080"/>
                    <w:sz w:val="16"/>
                  </w:rPr>
                  <w:t>–</w:t>
                </w:r>
                <w:r>
                  <w:rPr>
                    <w:color w:val="808080"/>
                    <w:spacing w:val="-2"/>
                    <w:sz w:val="16"/>
                  </w:rPr>
                  <w:t> </w:t>
                </w:r>
                <w:r>
                  <w:rPr>
                    <w:color w:val="808080"/>
                    <w:sz w:val="16"/>
                  </w:rPr>
                  <w:t>page</w:t>
                </w:r>
                <w:r>
                  <w:rPr>
                    <w:color w:val="808080"/>
                    <w:spacing w:val="-2"/>
                    <w:sz w:val="16"/>
                  </w:rPr>
                  <w:t> </w:t>
                </w:r>
                <w:r>
                  <w:rPr>
                    <w:b/>
                    <w:color w:val="FF0000"/>
                    <w:spacing w:val="-5"/>
                    <w:sz w:val="16"/>
                  </w:rPr>
                  <w:t>28</w:t>
                </w:r>
              </w:p>
            </w:txbxContent>
          </v:textbox>
          <w10:wrap type="none"/>
        </v:shape>
      </w:pic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43.369995pt;margin-top:788.881592pt;width:94.7pt;height:11pt;mso-position-horizontal-relative:page;mso-position-vertical-relative:page;z-index:-16545280" type="#_x0000_t202" id="docshape65" filled="false" stroked="false">
          <v:textbox inset="0,0,0,0">
            <w:txbxContent>
              <w:p>
                <w:pPr>
                  <w:spacing w:before="15"/>
                  <w:ind w:left="20" w:right="0" w:firstLine="0"/>
                  <w:jc w:val="left"/>
                  <w:rPr>
                    <w:b/>
                    <w:sz w:val="16"/>
                  </w:rPr>
                </w:pPr>
                <w:r>
                  <w:rPr>
                    <w:color w:val="808080"/>
                    <w:sz w:val="16"/>
                  </w:rPr>
                  <w:t>Draft</w:t>
                </w:r>
                <w:r>
                  <w:rPr>
                    <w:color w:val="808080"/>
                    <w:spacing w:val="-2"/>
                    <w:sz w:val="16"/>
                  </w:rPr>
                  <w:t> </w:t>
                </w:r>
                <w:r>
                  <w:rPr>
                    <w:color w:val="808080"/>
                    <w:sz w:val="16"/>
                  </w:rPr>
                  <w:t>May</w:t>
                </w:r>
                <w:r>
                  <w:rPr>
                    <w:color w:val="808080"/>
                    <w:spacing w:val="-3"/>
                    <w:sz w:val="16"/>
                  </w:rPr>
                  <w:t> </w:t>
                </w:r>
                <w:r>
                  <w:rPr>
                    <w:color w:val="808080"/>
                    <w:sz w:val="16"/>
                  </w:rPr>
                  <w:t>2021</w:t>
                </w:r>
                <w:r>
                  <w:rPr>
                    <w:color w:val="808080"/>
                    <w:spacing w:val="-2"/>
                    <w:sz w:val="16"/>
                  </w:rPr>
                  <w:t> </w:t>
                </w:r>
                <w:r>
                  <w:rPr>
                    <w:color w:val="808080"/>
                    <w:sz w:val="16"/>
                  </w:rPr>
                  <w:t>–</w:t>
                </w:r>
                <w:r>
                  <w:rPr>
                    <w:color w:val="808080"/>
                    <w:spacing w:val="-2"/>
                    <w:sz w:val="16"/>
                  </w:rPr>
                  <w:t> </w:t>
                </w:r>
                <w:r>
                  <w:rPr>
                    <w:color w:val="808080"/>
                    <w:sz w:val="16"/>
                  </w:rPr>
                  <w:t>page</w:t>
                </w:r>
                <w:r>
                  <w:rPr>
                    <w:color w:val="808080"/>
                    <w:spacing w:val="-2"/>
                    <w:sz w:val="16"/>
                  </w:rPr>
                  <w:t> </w:t>
                </w:r>
                <w:r>
                  <w:rPr>
                    <w:b/>
                    <w:color w:val="FF0000"/>
                    <w:spacing w:val="-5"/>
                    <w:sz w:val="16"/>
                  </w:rPr>
                  <w:t>29</w:t>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16577536" from="345.899994pt,788.599976pt" to="483.549994pt,788.599976pt" stroked="true" strokeweight=".96pt" strokecolor="#000000">
          <v:stroke dashstyle="shortdot"/>
          <w10:wrap type="none"/>
        </v:line>
      </w:pict>
    </w:r>
    <w:r>
      <w:rPr/>
      <w:pict>
        <v:shape style="position:absolute;margin-left:247.809998pt;margin-top:788.881592pt;width:93.25pt;height:11pt;mso-position-horizontal-relative:page;mso-position-vertical-relative:page;z-index:-16577024" type="#_x0000_t202" id="docshape14" filled="false" stroked="false">
          <v:textbox inset="0,0,0,0">
            <w:txbxContent>
              <w:p>
                <w:pPr>
                  <w:spacing w:before="15"/>
                  <w:ind w:left="20" w:right="0" w:firstLine="0"/>
                  <w:jc w:val="left"/>
                  <w:rPr>
                    <w:b/>
                    <w:sz w:val="16"/>
                  </w:rPr>
                </w:pPr>
                <w:r>
                  <w:rPr>
                    <w:color w:val="808080"/>
                    <w:sz w:val="16"/>
                  </w:rPr>
                  <w:t>Draft</w:t>
                </w:r>
                <w:r>
                  <w:rPr>
                    <w:color w:val="808080"/>
                    <w:spacing w:val="-2"/>
                    <w:sz w:val="16"/>
                  </w:rPr>
                  <w:t> </w:t>
                </w:r>
                <w:r>
                  <w:rPr>
                    <w:color w:val="808080"/>
                    <w:sz w:val="16"/>
                  </w:rPr>
                  <w:t>May</w:t>
                </w:r>
                <w:r>
                  <w:rPr>
                    <w:color w:val="808080"/>
                    <w:spacing w:val="-3"/>
                    <w:sz w:val="16"/>
                  </w:rPr>
                  <w:t> </w:t>
                </w:r>
                <w:r>
                  <w:rPr>
                    <w:color w:val="808080"/>
                    <w:sz w:val="16"/>
                  </w:rPr>
                  <w:t>2021</w:t>
                </w:r>
                <w:r>
                  <w:rPr>
                    <w:color w:val="808080"/>
                    <w:spacing w:val="-2"/>
                    <w:sz w:val="16"/>
                  </w:rPr>
                  <w:t> </w:t>
                </w:r>
                <w:r>
                  <w:rPr>
                    <w:color w:val="808080"/>
                    <w:sz w:val="16"/>
                  </w:rPr>
                  <w:t>–</w:t>
                </w:r>
                <w:r>
                  <w:rPr>
                    <w:color w:val="808080"/>
                    <w:spacing w:val="-2"/>
                    <w:sz w:val="16"/>
                  </w:rPr>
                  <w:t> </w:t>
                </w:r>
                <w:r>
                  <w:rPr>
                    <w:color w:val="808080"/>
                    <w:sz w:val="16"/>
                  </w:rPr>
                  <w:t>page</w:t>
                </w:r>
                <w:r>
                  <w:rPr>
                    <w:color w:val="808080"/>
                    <w:spacing w:val="-2"/>
                    <w:sz w:val="16"/>
                  </w:rPr>
                  <w:t> </w:t>
                </w:r>
                <w:r>
                  <w:rPr>
                    <w:b/>
                    <w:color w:val="FF0000"/>
                    <w:spacing w:val="-10"/>
                    <w:sz w:val="16"/>
                  </w:rPr>
                  <w:fldChar w:fldCharType="begin"/>
                </w:r>
                <w:r>
                  <w:rPr>
                    <w:b/>
                    <w:color w:val="FF0000"/>
                    <w:spacing w:val="-10"/>
                    <w:sz w:val="16"/>
                  </w:rPr>
                  <w:instrText> PAGE </w:instrText>
                </w:r>
                <w:r>
                  <w:rPr>
                    <w:b/>
                    <w:color w:val="FF0000"/>
                    <w:spacing w:val="-10"/>
                    <w:sz w:val="16"/>
                  </w:rPr>
                  <w:fldChar w:fldCharType="separate"/>
                </w:r>
                <w:r>
                  <w:rPr>
                    <w:b/>
                    <w:color w:val="FF0000"/>
                    <w:spacing w:val="-10"/>
                    <w:sz w:val="16"/>
                  </w:rPr>
                  <w:t>3</w:t>
                </w:r>
                <w:r>
                  <w:rPr>
                    <w:b/>
                    <w:color w:val="FF0000"/>
                    <w:spacing w:val="-10"/>
                    <w:sz w:val="16"/>
                  </w:rPr>
                  <w:fldChar w:fldCharType="end"/>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57.529999pt;margin-top:788.881592pt;width:93.25pt;height:11pt;mso-position-horizontal-relative:page;mso-position-vertical-relative:page;z-index:-16575488" type="#_x0000_t202" id="docshape17" filled="false" stroked="false">
          <v:textbox inset="0,0,0,0">
            <w:txbxContent>
              <w:p>
                <w:pPr>
                  <w:spacing w:before="15"/>
                  <w:ind w:left="20" w:right="0" w:firstLine="0"/>
                  <w:jc w:val="left"/>
                  <w:rPr>
                    <w:b/>
                    <w:sz w:val="16"/>
                  </w:rPr>
                </w:pPr>
                <w:r>
                  <w:rPr>
                    <w:color w:val="808080"/>
                    <w:sz w:val="16"/>
                  </w:rPr>
                  <w:t>Draft</w:t>
                </w:r>
                <w:r>
                  <w:rPr>
                    <w:color w:val="808080"/>
                    <w:spacing w:val="-2"/>
                    <w:sz w:val="16"/>
                  </w:rPr>
                  <w:t> </w:t>
                </w:r>
                <w:r>
                  <w:rPr>
                    <w:color w:val="808080"/>
                    <w:sz w:val="16"/>
                  </w:rPr>
                  <w:t>May</w:t>
                </w:r>
                <w:r>
                  <w:rPr>
                    <w:color w:val="808080"/>
                    <w:spacing w:val="-3"/>
                    <w:sz w:val="16"/>
                  </w:rPr>
                  <w:t> </w:t>
                </w:r>
                <w:r>
                  <w:rPr>
                    <w:color w:val="808080"/>
                    <w:sz w:val="16"/>
                  </w:rPr>
                  <w:t>2021</w:t>
                </w:r>
                <w:r>
                  <w:rPr>
                    <w:color w:val="808080"/>
                    <w:spacing w:val="-2"/>
                    <w:sz w:val="16"/>
                  </w:rPr>
                  <w:t> </w:t>
                </w:r>
                <w:r>
                  <w:rPr>
                    <w:color w:val="808080"/>
                    <w:sz w:val="16"/>
                  </w:rPr>
                  <w:t>–</w:t>
                </w:r>
                <w:r>
                  <w:rPr>
                    <w:color w:val="808080"/>
                    <w:spacing w:val="-2"/>
                    <w:sz w:val="16"/>
                  </w:rPr>
                  <w:t> </w:t>
                </w:r>
                <w:r>
                  <w:rPr>
                    <w:color w:val="808080"/>
                    <w:sz w:val="16"/>
                  </w:rPr>
                  <w:t>page</w:t>
                </w:r>
                <w:r>
                  <w:rPr>
                    <w:color w:val="808080"/>
                    <w:spacing w:val="-2"/>
                    <w:sz w:val="16"/>
                  </w:rPr>
                  <w:t> </w:t>
                </w:r>
                <w:r>
                  <w:rPr>
                    <w:b/>
                    <w:color w:val="FF0000"/>
                    <w:spacing w:val="-10"/>
                    <w:sz w:val="16"/>
                  </w:rPr>
                  <w:fldChar w:fldCharType="begin"/>
                </w:r>
                <w:r>
                  <w:rPr>
                    <w:b/>
                    <w:color w:val="FF0000"/>
                    <w:spacing w:val="-10"/>
                    <w:sz w:val="16"/>
                  </w:rPr>
                  <w:instrText> PAGE </w:instrText>
                </w:r>
                <w:r>
                  <w:rPr>
                    <w:b/>
                    <w:color w:val="FF0000"/>
                    <w:spacing w:val="-10"/>
                    <w:sz w:val="16"/>
                  </w:rPr>
                  <w:fldChar w:fldCharType="separate"/>
                </w:r>
                <w:r>
                  <w:rPr>
                    <w:b/>
                    <w:color w:val="FF0000"/>
                    <w:spacing w:val="-10"/>
                    <w:sz w:val="16"/>
                  </w:rPr>
                  <w:t>4</w:t>
                </w:r>
                <w:r>
                  <w:rPr>
                    <w:b/>
                    <w:color w:val="FF0000"/>
                    <w:spacing w:val="-10"/>
                    <w:sz w:val="16"/>
                  </w:rPr>
                  <w:fldChar w:fldCharType="end"/>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57.529999pt;margin-top:788.881592pt;width:94.7pt;height:11pt;mso-position-horizontal-relative:page;mso-position-vertical-relative:page;z-index:-16573952" type="#_x0000_t202" id="docshape23" filled="false" stroked="false">
          <v:textbox inset="0,0,0,0">
            <w:txbxContent>
              <w:p>
                <w:pPr>
                  <w:spacing w:before="15"/>
                  <w:ind w:left="20" w:right="0" w:firstLine="0"/>
                  <w:jc w:val="left"/>
                  <w:rPr>
                    <w:b/>
                    <w:sz w:val="16"/>
                  </w:rPr>
                </w:pPr>
                <w:r>
                  <w:rPr>
                    <w:color w:val="808080"/>
                    <w:sz w:val="16"/>
                  </w:rPr>
                  <w:t>Draft</w:t>
                </w:r>
                <w:r>
                  <w:rPr>
                    <w:color w:val="808080"/>
                    <w:spacing w:val="-2"/>
                    <w:sz w:val="16"/>
                  </w:rPr>
                  <w:t> </w:t>
                </w:r>
                <w:r>
                  <w:rPr>
                    <w:color w:val="808080"/>
                    <w:sz w:val="16"/>
                  </w:rPr>
                  <w:t>May</w:t>
                </w:r>
                <w:r>
                  <w:rPr>
                    <w:color w:val="808080"/>
                    <w:spacing w:val="-3"/>
                    <w:sz w:val="16"/>
                  </w:rPr>
                  <w:t> </w:t>
                </w:r>
                <w:r>
                  <w:rPr>
                    <w:color w:val="808080"/>
                    <w:sz w:val="16"/>
                  </w:rPr>
                  <w:t>2021</w:t>
                </w:r>
                <w:r>
                  <w:rPr>
                    <w:color w:val="808080"/>
                    <w:spacing w:val="-2"/>
                    <w:sz w:val="16"/>
                  </w:rPr>
                  <w:t> </w:t>
                </w:r>
                <w:r>
                  <w:rPr>
                    <w:color w:val="808080"/>
                    <w:sz w:val="16"/>
                  </w:rPr>
                  <w:t>–</w:t>
                </w:r>
                <w:r>
                  <w:rPr>
                    <w:color w:val="808080"/>
                    <w:spacing w:val="-2"/>
                    <w:sz w:val="16"/>
                  </w:rPr>
                  <w:t> </w:t>
                </w:r>
                <w:r>
                  <w:rPr>
                    <w:color w:val="808080"/>
                    <w:sz w:val="16"/>
                  </w:rPr>
                  <w:t>page</w:t>
                </w:r>
                <w:r>
                  <w:rPr>
                    <w:color w:val="808080"/>
                    <w:spacing w:val="-2"/>
                    <w:sz w:val="16"/>
                  </w:rPr>
                  <w:t> </w:t>
                </w:r>
                <w:r>
                  <w:rPr>
                    <w:b/>
                    <w:color w:val="FF0000"/>
                    <w:spacing w:val="-5"/>
                    <w:sz w:val="16"/>
                  </w:rPr>
                  <w:t>10</w:t>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43.369995pt;margin-top:788.881592pt;width:94.7pt;height:11pt;mso-position-horizontal-relative:page;mso-position-vertical-relative:page;z-index:-16572416" type="#_x0000_t202" id="docshape25" filled="false" stroked="false">
          <v:textbox inset="0,0,0,0">
            <w:txbxContent>
              <w:p>
                <w:pPr>
                  <w:spacing w:before="15"/>
                  <w:ind w:left="20" w:right="0" w:firstLine="0"/>
                  <w:jc w:val="left"/>
                  <w:rPr>
                    <w:b/>
                    <w:sz w:val="16"/>
                  </w:rPr>
                </w:pPr>
                <w:r>
                  <w:rPr>
                    <w:color w:val="808080"/>
                    <w:sz w:val="16"/>
                  </w:rPr>
                  <w:t>Draft</w:t>
                </w:r>
                <w:r>
                  <w:rPr>
                    <w:color w:val="808080"/>
                    <w:spacing w:val="-2"/>
                    <w:sz w:val="16"/>
                  </w:rPr>
                  <w:t> </w:t>
                </w:r>
                <w:r>
                  <w:rPr>
                    <w:color w:val="808080"/>
                    <w:sz w:val="16"/>
                  </w:rPr>
                  <w:t>May</w:t>
                </w:r>
                <w:r>
                  <w:rPr>
                    <w:color w:val="808080"/>
                    <w:spacing w:val="-3"/>
                    <w:sz w:val="16"/>
                  </w:rPr>
                  <w:t> </w:t>
                </w:r>
                <w:r>
                  <w:rPr>
                    <w:color w:val="808080"/>
                    <w:sz w:val="16"/>
                  </w:rPr>
                  <w:t>2021</w:t>
                </w:r>
                <w:r>
                  <w:rPr>
                    <w:color w:val="808080"/>
                    <w:spacing w:val="-2"/>
                    <w:sz w:val="16"/>
                  </w:rPr>
                  <w:t> </w:t>
                </w:r>
                <w:r>
                  <w:rPr>
                    <w:color w:val="808080"/>
                    <w:sz w:val="16"/>
                  </w:rPr>
                  <w:t>–</w:t>
                </w:r>
                <w:r>
                  <w:rPr>
                    <w:color w:val="808080"/>
                    <w:spacing w:val="-2"/>
                    <w:sz w:val="16"/>
                  </w:rPr>
                  <w:t> </w:t>
                </w:r>
                <w:r>
                  <w:rPr>
                    <w:color w:val="808080"/>
                    <w:sz w:val="16"/>
                  </w:rPr>
                  <w:t>page</w:t>
                </w:r>
                <w:r>
                  <w:rPr>
                    <w:color w:val="808080"/>
                    <w:spacing w:val="-2"/>
                    <w:sz w:val="16"/>
                  </w:rPr>
                  <w:t> </w:t>
                </w:r>
                <w:r>
                  <w:rPr>
                    <w:b/>
                    <w:color w:val="FF0000"/>
                    <w:spacing w:val="-5"/>
                    <w:sz w:val="16"/>
                  </w:rPr>
                  <w:t>11</w:t>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57.529999pt;margin-top:788.881592pt;width:94.7pt;height:11pt;mso-position-horizontal-relative:page;mso-position-vertical-relative:page;z-index:-16570880" type="#_x0000_t202" id="docshape27" filled="false" stroked="false">
          <v:textbox inset="0,0,0,0">
            <w:txbxContent>
              <w:p>
                <w:pPr>
                  <w:spacing w:before="15"/>
                  <w:ind w:left="20" w:right="0" w:firstLine="0"/>
                  <w:jc w:val="left"/>
                  <w:rPr>
                    <w:b/>
                    <w:sz w:val="16"/>
                  </w:rPr>
                </w:pPr>
                <w:r>
                  <w:rPr>
                    <w:color w:val="808080"/>
                    <w:sz w:val="16"/>
                  </w:rPr>
                  <w:t>Draft</w:t>
                </w:r>
                <w:r>
                  <w:rPr>
                    <w:color w:val="808080"/>
                    <w:spacing w:val="-2"/>
                    <w:sz w:val="16"/>
                  </w:rPr>
                  <w:t> </w:t>
                </w:r>
                <w:r>
                  <w:rPr>
                    <w:color w:val="808080"/>
                    <w:sz w:val="16"/>
                  </w:rPr>
                  <w:t>May</w:t>
                </w:r>
                <w:r>
                  <w:rPr>
                    <w:color w:val="808080"/>
                    <w:spacing w:val="-3"/>
                    <w:sz w:val="16"/>
                  </w:rPr>
                  <w:t> </w:t>
                </w:r>
                <w:r>
                  <w:rPr>
                    <w:color w:val="808080"/>
                    <w:sz w:val="16"/>
                  </w:rPr>
                  <w:t>2021</w:t>
                </w:r>
                <w:r>
                  <w:rPr>
                    <w:color w:val="808080"/>
                    <w:spacing w:val="-2"/>
                    <w:sz w:val="16"/>
                  </w:rPr>
                  <w:t> </w:t>
                </w:r>
                <w:r>
                  <w:rPr>
                    <w:color w:val="808080"/>
                    <w:sz w:val="16"/>
                  </w:rPr>
                  <w:t>–</w:t>
                </w:r>
                <w:r>
                  <w:rPr>
                    <w:color w:val="808080"/>
                    <w:spacing w:val="-2"/>
                    <w:sz w:val="16"/>
                  </w:rPr>
                  <w:t> </w:t>
                </w:r>
                <w:r>
                  <w:rPr>
                    <w:color w:val="808080"/>
                    <w:sz w:val="16"/>
                  </w:rPr>
                  <w:t>page</w:t>
                </w:r>
                <w:r>
                  <w:rPr>
                    <w:color w:val="808080"/>
                    <w:spacing w:val="-2"/>
                    <w:sz w:val="16"/>
                  </w:rPr>
                  <w:t> </w:t>
                </w:r>
                <w:r>
                  <w:rPr>
                    <w:b/>
                    <w:color w:val="FF0000"/>
                    <w:spacing w:val="-5"/>
                    <w:sz w:val="16"/>
                  </w:rPr>
                  <w:t>12</w:t>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43.369995pt;margin-top:788.881592pt;width:94.7pt;height:11pt;mso-position-horizontal-relative:page;mso-position-vertical-relative:page;z-index:-16569344" type="#_x0000_t202" id="docshape29" filled="false" stroked="false">
          <v:textbox inset="0,0,0,0">
            <w:txbxContent>
              <w:p>
                <w:pPr>
                  <w:spacing w:before="15"/>
                  <w:ind w:left="20" w:right="0" w:firstLine="0"/>
                  <w:jc w:val="left"/>
                  <w:rPr>
                    <w:b/>
                    <w:sz w:val="16"/>
                  </w:rPr>
                </w:pPr>
                <w:r>
                  <w:rPr>
                    <w:color w:val="808080"/>
                    <w:sz w:val="16"/>
                  </w:rPr>
                  <w:t>Draft</w:t>
                </w:r>
                <w:r>
                  <w:rPr>
                    <w:color w:val="808080"/>
                    <w:spacing w:val="-2"/>
                    <w:sz w:val="16"/>
                  </w:rPr>
                  <w:t> </w:t>
                </w:r>
                <w:r>
                  <w:rPr>
                    <w:color w:val="808080"/>
                    <w:sz w:val="16"/>
                  </w:rPr>
                  <w:t>May</w:t>
                </w:r>
                <w:r>
                  <w:rPr>
                    <w:color w:val="808080"/>
                    <w:spacing w:val="-3"/>
                    <w:sz w:val="16"/>
                  </w:rPr>
                  <w:t> </w:t>
                </w:r>
                <w:r>
                  <w:rPr>
                    <w:color w:val="808080"/>
                    <w:sz w:val="16"/>
                  </w:rPr>
                  <w:t>2021</w:t>
                </w:r>
                <w:r>
                  <w:rPr>
                    <w:color w:val="808080"/>
                    <w:spacing w:val="-2"/>
                    <w:sz w:val="16"/>
                  </w:rPr>
                  <w:t> </w:t>
                </w:r>
                <w:r>
                  <w:rPr>
                    <w:color w:val="808080"/>
                    <w:sz w:val="16"/>
                  </w:rPr>
                  <w:t>–</w:t>
                </w:r>
                <w:r>
                  <w:rPr>
                    <w:color w:val="808080"/>
                    <w:spacing w:val="-2"/>
                    <w:sz w:val="16"/>
                  </w:rPr>
                  <w:t> </w:t>
                </w:r>
                <w:r>
                  <w:rPr>
                    <w:color w:val="808080"/>
                    <w:sz w:val="16"/>
                  </w:rPr>
                  <w:t>page</w:t>
                </w:r>
                <w:r>
                  <w:rPr>
                    <w:color w:val="808080"/>
                    <w:spacing w:val="-2"/>
                    <w:sz w:val="16"/>
                  </w:rPr>
                  <w:t> </w:t>
                </w:r>
                <w:r>
                  <w:rPr>
                    <w:b/>
                    <w:color w:val="FF0000"/>
                    <w:spacing w:val="-5"/>
                    <w:sz w:val="16"/>
                  </w:rPr>
                  <w:t>13</w:t>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57.529999pt;margin-top:788.881592pt;width:94.7pt;height:11pt;mso-position-horizontal-relative:page;mso-position-vertical-relative:page;z-index:-16567808" type="#_x0000_t202" id="docshape31" filled="false" stroked="false">
          <v:textbox inset="0,0,0,0">
            <w:txbxContent>
              <w:p>
                <w:pPr>
                  <w:spacing w:before="15"/>
                  <w:ind w:left="20" w:right="0" w:firstLine="0"/>
                  <w:jc w:val="left"/>
                  <w:rPr>
                    <w:b/>
                    <w:sz w:val="16"/>
                  </w:rPr>
                </w:pPr>
                <w:r>
                  <w:rPr>
                    <w:color w:val="808080"/>
                    <w:sz w:val="16"/>
                  </w:rPr>
                  <w:t>Draft</w:t>
                </w:r>
                <w:r>
                  <w:rPr>
                    <w:color w:val="808080"/>
                    <w:spacing w:val="-2"/>
                    <w:sz w:val="16"/>
                  </w:rPr>
                  <w:t> </w:t>
                </w:r>
                <w:r>
                  <w:rPr>
                    <w:color w:val="808080"/>
                    <w:sz w:val="16"/>
                  </w:rPr>
                  <w:t>May</w:t>
                </w:r>
                <w:r>
                  <w:rPr>
                    <w:color w:val="808080"/>
                    <w:spacing w:val="-3"/>
                    <w:sz w:val="16"/>
                  </w:rPr>
                  <w:t> </w:t>
                </w:r>
                <w:r>
                  <w:rPr>
                    <w:color w:val="808080"/>
                    <w:sz w:val="16"/>
                  </w:rPr>
                  <w:t>2021</w:t>
                </w:r>
                <w:r>
                  <w:rPr>
                    <w:color w:val="808080"/>
                    <w:spacing w:val="-2"/>
                    <w:sz w:val="16"/>
                  </w:rPr>
                  <w:t> </w:t>
                </w:r>
                <w:r>
                  <w:rPr>
                    <w:color w:val="808080"/>
                    <w:sz w:val="16"/>
                  </w:rPr>
                  <w:t>–</w:t>
                </w:r>
                <w:r>
                  <w:rPr>
                    <w:color w:val="808080"/>
                    <w:spacing w:val="-2"/>
                    <w:sz w:val="16"/>
                  </w:rPr>
                  <w:t> </w:t>
                </w:r>
                <w:r>
                  <w:rPr>
                    <w:color w:val="808080"/>
                    <w:sz w:val="16"/>
                  </w:rPr>
                  <w:t>page</w:t>
                </w:r>
                <w:r>
                  <w:rPr>
                    <w:color w:val="808080"/>
                    <w:spacing w:val="-2"/>
                    <w:sz w:val="16"/>
                  </w:rPr>
                  <w:t> </w:t>
                </w:r>
                <w:r>
                  <w:rPr>
                    <w:b/>
                    <w:color w:val="FF0000"/>
                    <w:spacing w:val="-5"/>
                    <w:sz w:val="16"/>
                  </w:rPr>
                  <w:t>14</w:t>
                </w:r>
              </w:p>
            </w:txbxContent>
          </v:textbox>
          <w10:wrap type="non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16582144" from="111.949997pt,47.399979pt" to="327.499997pt,47.399979pt" stroked="true" strokeweight=".96pt" strokecolor="#000000">
          <v:stroke dashstyle="shortdot"/>
          <w10:wrap type="none"/>
        </v:line>
      </w:pict>
    </w:r>
    <w:r>
      <w:rPr/>
      <w:pict>
        <v:shapetype id="_x0000_t202" o:spt="202" coordsize="21600,21600" path="m,l,21600r21600,l21600,xe">
          <v:stroke joinstyle="miter"/>
          <v:path gradientshapeok="t" o:connecttype="rect"/>
        </v:shapetype>
        <v:shape style="position:absolute;margin-left:112.419998pt;margin-top:34.921581pt;width:61.25pt;height:11pt;mso-position-horizontal-relative:page;mso-position-vertical-relative:page;z-index:-16581632" type="#_x0000_t202" id="docshape1" filled="false" stroked="false">
          <v:textbox inset="0,0,0,0">
            <w:txbxContent>
              <w:p>
                <w:pPr>
                  <w:spacing w:before="15"/>
                  <w:ind w:left="20" w:right="0" w:firstLine="0"/>
                  <w:jc w:val="left"/>
                  <w:rPr>
                    <w:sz w:val="16"/>
                  </w:rPr>
                </w:pPr>
                <w:r>
                  <w:rPr>
                    <w:b/>
                    <w:color w:val="999999"/>
                    <w:sz w:val="16"/>
                  </w:rPr>
                  <w:t>DI</w:t>
                </w:r>
                <w:r>
                  <w:rPr>
                    <w:b/>
                    <w:color w:val="FF0000"/>
                    <w:sz w:val="16"/>
                  </w:rPr>
                  <w:t>P</w:t>
                </w:r>
                <w:r>
                  <w:rPr>
                    <w:b/>
                    <w:color w:val="999999"/>
                    <w:sz w:val="16"/>
                  </w:rPr>
                  <w:t>D</w:t>
                </w:r>
                <w:r>
                  <w:rPr>
                    <w:b/>
                    <w:color w:val="999999"/>
                    <w:spacing w:val="-1"/>
                    <w:sz w:val="16"/>
                  </w:rPr>
                  <w:t> </w:t>
                </w:r>
                <w:r>
                  <w:rPr>
                    <w:spacing w:val="-2"/>
                    <w:sz w:val="16"/>
                  </w:rPr>
                  <w:t>Guidelines</w:t>
                </w:r>
              </w:p>
            </w:txbxContent>
          </v:textbox>
          <w10:wrap type="non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16567296" from="111.949997pt,47.399979pt" to="327.499997pt,47.399979pt" stroked="true" strokeweight=".96pt" strokecolor="#000000">
          <v:stroke dashstyle="shortdot"/>
          <w10:wrap type="none"/>
        </v:line>
      </w:pict>
    </w:r>
    <w:r>
      <w:rPr/>
      <w:pict>
        <v:shape style="position:absolute;margin-left:112.419998pt;margin-top:34.921581pt;width:61.25pt;height:11pt;mso-position-horizontal-relative:page;mso-position-vertical-relative:page;z-index:-16566784" type="#_x0000_t202" id="docshape32" filled="false" stroked="false">
          <v:textbox inset="0,0,0,0">
            <w:txbxContent>
              <w:p>
                <w:pPr>
                  <w:spacing w:before="15"/>
                  <w:ind w:left="20" w:right="0" w:firstLine="0"/>
                  <w:jc w:val="left"/>
                  <w:rPr>
                    <w:sz w:val="16"/>
                  </w:rPr>
                </w:pPr>
                <w:r>
                  <w:rPr>
                    <w:b/>
                    <w:color w:val="999999"/>
                    <w:sz w:val="16"/>
                  </w:rPr>
                  <w:t>DI</w:t>
                </w:r>
                <w:r>
                  <w:rPr>
                    <w:b/>
                    <w:color w:val="FF0000"/>
                    <w:sz w:val="16"/>
                  </w:rPr>
                  <w:t>P</w:t>
                </w:r>
                <w:r>
                  <w:rPr>
                    <w:b/>
                    <w:color w:val="999999"/>
                    <w:sz w:val="16"/>
                  </w:rPr>
                  <w:t>D</w:t>
                </w:r>
                <w:r>
                  <w:rPr>
                    <w:b/>
                    <w:color w:val="999999"/>
                    <w:spacing w:val="-1"/>
                    <w:sz w:val="16"/>
                  </w:rPr>
                  <w:t> </w:t>
                </w:r>
                <w:r>
                  <w:rPr>
                    <w:spacing w:val="-2"/>
                    <w:sz w:val="16"/>
                  </w:rPr>
                  <w:t>Guidelines</w:t>
                </w:r>
              </w:p>
            </w:txbxContent>
          </v:textbox>
          <w10:wrap type="none"/>
        </v:shape>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16565760" from="111.949997pt,47.399979pt" to="327.499997pt,47.399979pt" stroked="true" strokeweight=".96pt" strokecolor="#000000">
          <v:stroke dashstyle="shortdot"/>
          <w10:wrap type="none"/>
        </v:line>
      </w:pict>
    </w:r>
    <w:r>
      <w:rPr/>
      <w:pict>
        <v:shape style="position:absolute;margin-left:112.419998pt;margin-top:34.921581pt;width:61.25pt;height:11pt;mso-position-horizontal-relative:page;mso-position-vertical-relative:page;z-index:-16565248" type="#_x0000_t202" id="docshape34" filled="false" stroked="false">
          <v:textbox inset="0,0,0,0">
            <w:txbxContent>
              <w:p>
                <w:pPr>
                  <w:spacing w:before="15"/>
                  <w:ind w:left="20" w:right="0" w:firstLine="0"/>
                  <w:jc w:val="left"/>
                  <w:rPr>
                    <w:sz w:val="16"/>
                  </w:rPr>
                </w:pPr>
                <w:r>
                  <w:rPr>
                    <w:b/>
                    <w:color w:val="999999"/>
                    <w:sz w:val="16"/>
                  </w:rPr>
                  <w:t>DI</w:t>
                </w:r>
                <w:r>
                  <w:rPr>
                    <w:b/>
                    <w:color w:val="FF0000"/>
                    <w:sz w:val="16"/>
                  </w:rPr>
                  <w:t>P</w:t>
                </w:r>
                <w:r>
                  <w:rPr>
                    <w:b/>
                    <w:color w:val="999999"/>
                    <w:sz w:val="16"/>
                  </w:rPr>
                  <w:t>D</w:t>
                </w:r>
                <w:r>
                  <w:rPr>
                    <w:b/>
                    <w:color w:val="999999"/>
                    <w:spacing w:val="-1"/>
                    <w:sz w:val="16"/>
                  </w:rPr>
                  <w:t> </w:t>
                </w:r>
                <w:r>
                  <w:rPr>
                    <w:spacing w:val="-2"/>
                    <w:sz w:val="16"/>
                  </w:rPr>
                  <w:t>Guidelines</w:t>
                </w:r>
              </w:p>
            </w:txbxContent>
          </v:textbox>
          <w10:wrap type="none"/>
        </v:shape>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16564224" from="111.949997pt,47.399979pt" to="327.499997pt,47.399979pt" stroked="true" strokeweight=".96pt" strokecolor="#000000">
          <v:stroke dashstyle="shortdot"/>
          <w10:wrap type="none"/>
        </v:line>
      </w:pict>
    </w:r>
    <w:r>
      <w:rPr/>
      <w:pict>
        <v:shape style="position:absolute;margin-left:112.419998pt;margin-top:34.921581pt;width:61.25pt;height:11pt;mso-position-horizontal-relative:page;mso-position-vertical-relative:page;z-index:-16563712" type="#_x0000_t202" id="docshape36" filled="false" stroked="false">
          <v:textbox inset="0,0,0,0">
            <w:txbxContent>
              <w:p>
                <w:pPr>
                  <w:spacing w:before="15"/>
                  <w:ind w:left="20" w:right="0" w:firstLine="0"/>
                  <w:jc w:val="left"/>
                  <w:rPr>
                    <w:sz w:val="16"/>
                  </w:rPr>
                </w:pPr>
                <w:r>
                  <w:rPr>
                    <w:b/>
                    <w:color w:val="999999"/>
                    <w:sz w:val="16"/>
                  </w:rPr>
                  <w:t>DI</w:t>
                </w:r>
                <w:r>
                  <w:rPr>
                    <w:b/>
                    <w:color w:val="FF0000"/>
                    <w:sz w:val="16"/>
                  </w:rPr>
                  <w:t>P</w:t>
                </w:r>
                <w:r>
                  <w:rPr>
                    <w:b/>
                    <w:color w:val="999999"/>
                    <w:sz w:val="16"/>
                  </w:rPr>
                  <w:t>D</w:t>
                </w:r>
                <w:r>
                  <w:rPr>
                    <w:b/>
                    <w:color w:val="999999"/>
                    <w:spacing w:val="-1"/>
                    <w:sz w:val="16"/>
                  </w:rPr>
                  <w:t> </w:t>
                </w:r>
                <w:r>
                  <w:rPr>
                    <w:spacing w:val="-2"/>
                    <w:sz w:val="16"/>
                  </w:rPr>
                  <w:t>Guidelines</w:t>
                </w:r>
              </w:p>
            </w:txbxContent>
          </v:textbox>
          <w10:wrap type="none"/>
        </v:shape>
      </w:pic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16562688" from="111.949997pt,47.399979pt" to="327.499997pt,47.399979pt" stroked="true" strokeweight=".96pt" strokecolor="#000000">
          <v:stroke dashstyle="shortdot"/>
          <w10:wrap type="none"/>
        </v:line>
      </w:pict>
    </w:r>
    <w:r>
      <w:rPr/>
      <w:pict>
        <v:shape style="position:absolute;margin-left:112.419998pt;margin-top:34.921581pt;width:61.25pt;height:11pt;mso-position-horizontal-relative:page;mso-position-vertical-relative:page;z-index:-16562176" type="#_x0000_t202" id="docshape38" filled="false" stroked="false">
          <v:textbox inset="0,0,0,0">
            <w:txbxContent>
              <w:p>
                <w:pPr>
                  <w:spacing w:before="15"/>
                  <w:ind w:left="20" w:right="0" w:firstLine="0"/>
                  <w:jc w:val="left"/>
                  <w:rPr>
                    <w:sz w:val="16"/>
                  </w:rPr>
                </w:pPr>
                <w:r>
                  <w:rPr>
                    <w:b/>
                    <w:color w:val="999999"/>
                    <w:sz w:val="16"/>
                  </w:rPr>
                  <w:t>DI</w:t>
                </w:r>
                <w:r>
                  <w:rPr>
                    <w:b/>
                    <w:color w:val="FF0000"/>
                    <w:sz w:val="16"/>
                  </w:rPr>
                  <w:t>P</w:t>
                </w:r>
                <w:r>
                  <w:rPr>
                    <w:b/>
                    <w:color w:val="999999"/>
                    <w:sz w:val="16"/>
                  </w:rPr>
                  <w:t>D</w:t>
                </w:r>
                <w:r>
                  <w:rPr>
                    <w:b/>
                    <w:color w:val="999999"/>
                    <w:spacing w:val="-1"/>
                    <w:sz w:val="16"/>
                  </w:rPr>
                  <w:t> </w:t>
                </w:r>
                <w:r>
                  <w:rPr>
                    <w:spacing w:val="-2"/>
                    <w:sz w:val="16"/>
                  </w:rPr>
                  <w:t>Guidelines</w:t>
                </w:r>
              </w:p>
            </w:txbxContent>
          </v:textbox>
          <w10:wrap type="none"/>
        </v:shape>
      </w:pic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16561152" from="111.949997pt,47.399979pt" to="327.499997pt,47.399979pt" stroked="true" strokeweight=".96pt" strokecolor="#000000">
          <v:stroke dashstyle="shortdot"/>
          <w10:wrap type="none"/>
        </v:line>
      </w:pict>
    </w:r>
    <w:r>
      <w:rPr/>
      <w:pict>
        <v:shape style="position:absolute;margin-left:112.419998pt;margin-top:34.921581pt;width:61.25pt;height:11pt;mso-position-horizontal-relative:page;mso-position-vertical-relative:page;z-index:-16560640" type="#_x0000_t202" id="docshape42" filled="false" stroked="false">
          <v:textbox inset="0,0,0,0">
            <w:txbxContent>
              <w:p>
                <w:pPr>
                  <w:spacing w:before="15"/>
                  <w:ind w:left="20" w:right="0" w:firstLine="0"/>
                  <w:jc w:val="left"/>
                  <w:rPr>
                    <w:sz w:val="16"/>
                  </w:rPr>
                </w:pPr>
                <w:r>
                  <w:rPr>
                    <w:b/>
                    <w:color w:val="999999"/>
                    <w:sz w:val="16"/>
                  </w:rPr>
                  <w:t>DI</w:t>
                </w:r>
                <w:r>
                  <w:rPr>
                    <w:b/>
                    <w:color w:val="FF0000"/>
                    <w:sz w:val="16"/>
                  </w:rPr>
                  <w:t>P</w:t>
                </w:r>
                <w:r>
                  <w:rPr>
                    <w:b/>
                    <w:color w:val="999999"/>
                    <w:sz w:val="16"/>
                  </w:rPr>
                  <w:t>D</w:t>
                </w:r>
                <w:r>
                  <w:rPr>
                    <w:b/>
                    <w:color w:val="999999"/>
                    <w:spacing w:val="-1"/>
                    <w:sz w:val="16"/>
                  </w:rPr>
                  <w:t> </w:t>
                </w:r>
                <w:r>
                  <w:rPr>
                    <w:spacing w:val="-2"/>
                    <w:sz w:val="16"/>
                  </w:rPr>
                  <w:t>Guidelines</w:t>
                </w:r>
              </w:p>
            </w:txbxContent>
          </v:textbox>
          <w10:wrap type="none"/>
        </v:shape>
      </w:pic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16559616" from="111.949997pt,47.399979pt" to="327.499997pt,47.399979pt" stroked="true" strokeweight=".96pt" strokecolor="#000000">
          <v:stroke dashstyle="shortdot"/>
          <w10:wrap type="none"/>
        </v:line>
      </w:pict>
    </w:r>
    <w:r>
      <w:rPr/>
      <w:pict>
        <v:shape style="position:absolute;margin-left:112.419998pt;margin-top:34.921581pt;width:61.25pt;height:11pt;mso-position-horizontal-relative:page;mso-position-vertical-relative:page;z-index:-16559104" type="#_x0000_t202" id="docshape44" filled="false" stroked="false">
          <v:textbox inset="0,0,0,0">
            <w:txbxContent>
              <w:p>
                <w:pPr>
                  <w:spacing w:before="15"/>
                  <w:ind w:left="20" w:right="0" w:firstLine="0"/>
                  <w:jc w:val="left"/>
                  <w:rPr>
                    <w:sz w:val="16"/>
                  </w:rPr>
                </w:pPr>
                <w:r>
                  <w:rPr>
                    <w:b/>
                    <w:color w:val="999999"/>
                    <w:sz w:val="16"/>
                  </w:rPr>
                  <w:t>DI</w:t>
                </w:r>
                <w:r>
                  <w:rPr>
                    <w:b/>
                    <w:color w:val="FF0000"/>
                    <w:sz w:val="16"/>
                  </w:rPr>
                  <w:t>P</w:t>
                </w:r>
                <w:r>
                  <w:rPr>
                    <w:b/>
                    <w:color w:val="999999"/>
                    <w:sz w:val="16"/>
                  </w:rPr>
                  <w:t>D</w:t>
                </w:r>
                <w:r>
                  <w:rPr>
                    <w:b/>
                    <w:color w:val="999999"/>
                    <w:spacing w:val="-1"/>
                    <w:sz w:val="16"/>
                  </w:rPr>
                  <w:t> </w:t>
                </w:r>
                <w:r>
                  <w:rPr>
                    <w:spacing w:val="-2"/>
                    <w:sz w:val="16"/>
                  </w:rPr>
                  <w:t>Guidelines</w:t>
                </w:r>
              </w:p>
            </w:txbxContent>
          </v:textbox>
          <w10:wrap type="none"/>
        </v:shape>
      </w:pic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16558080" from="111.949997pt,47.399979pt" to="327.499997pt,47.399979pt" stroked="true" strokeweight=".96pt" strokecolor="#000000">
          <v:stroke dashstyle="shortdot"/>
          <w10:wrap type="none"/>
        </v:line>
      </w:pict>
    </w:r>
    <w:r>
      <w:rPr/>
      <w:pict>
        <v:shape style="position:absolute;margin-left:112.419998pt;margin-top:34.921581pt;width:61.25pt;height:11pt;mso-position-horizontal-relative:page;mso-position-vertical-relative:page;z-index:-16557568" type="#_x0000_t202" id="docshape46" filled="false" stroked="false">
          <v:textbox inset="0,0,0,0">
            <w:txbxContent>
              <w:p>
                <w:pPr>
                  <w:spacing w:before="15"/>
                  <w:ind w:left="20" w:right="0" w:firstLine="0"/>
                  <w:jc w:val="left"/>
                  <w:rPr>
                    <w:sz w:val="16"/>
                  </w:rPr>
                </w:pPr>
                <w:r>
                  <w:rPr>
                    <w:b/>
                    <w:color w:val="999999"/>
                    <w:sz w:val="16"/>
                  </w:rPr>
                  <w:t>DI</w:t>
                </w:r>
                <w:r>
                  <w:rPr>
                    <w:b/>
                    <w:color w:val="FF0000"/>
                    <w:sz w:val="16"/>
                  </w:rPr>
                  <w:t>P</w:t>
                </w:r>
                <w:r>
                  <w:rPr>
                    <w:b/>
                    <w:color w:val="999999"/>
                    <w:sz w:val="16"/>
                  </w:rPr>
                  <w:t>D</w:t>
                </w:r>
                <w:r>
                  <w:rPr>
                    <w:b/>
                    <w:color w:val="999999"/>
                    <w:spacing w:val="-1"/>
                    <w:sz w:val="16"/>
                  </w:rPr>
                  <w:t> </w:t>
                </w:r>
                <w:r>
                  <w:rPr>
                    <w:spacing w:val="-2"/>
                    <w:sz w:val="16"/>
                  </w:rPr>
                  <w:t>Guidelines</w:t>
                </w:r>
              </w:p>
            </w:txbxContent>
          </v:textbox>
          <w10:wrap type="none"/>
        </v:shape>
      </w:pic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16556544" from="111.949997pt,47.399979pt" to="327.499997pt,47.399979pt" stroked="true" strokeweight=".96pt" strokecolor="#000000">
          <v:stroke dashstyle="shortdot"/>
          <w10:wrap type="none"/>
        </v:line>
      </w:pict>
    </w:r>
    <w:r>
      <w:rPr/>
      <w:pict>
        <v:shape style="position:absolute;margin-left:112.419998pt;margin-top:34.921581pt;width:61.25pt;height:11pt;mso-position-horizontal-relative:page;mso-position-vertical-relative:page;z-index:-16556032" type="#_x0000_t202" id="docshape48" filled="false" stroked="false">
          <v:textbox inset="0,0,0,0">
            <w:txbxContent>
              <w:p>
                <w:pPr>
                  <w:spacing w:before="15"/>
                  <w:ind w:left="20" w:right="0" w:firstLine="0"/>
                  <w:jc w:val="left"/>
                  <w:rPr>
                    <w:sz w:val="16"/>
                  </w:rPr>
                </w:pPr>
                <w:r>
                  <w:rPr>
                    <w:b/>
                    <w:color w:val="999999"/>
                    <w:sz w:val="16"/>
                  </w:rPr>
                  <w:t>DI</w:t>
                </w:r>
                <w:r>
                  <w:rPr>
                    <w:b/>
                    <w:color w:val="FF0000"/>
                    <w:sz w:val="16"/>
                  </w:rPr>
                  <w:t>P</w:t>
                </w:r>
                <w:r>
                  <w:rPr>
                    <w:b/>
                    <w:color w:val="999999"/>
                    <w:sz w:val="16"/>
                  </w:rPr>
                  <w:t>D</w:t>
                </w:r>
                <w:r>
                  <w:rPr>
                    <w:b/>
                    <w:color w:val="999999"/>
                    <w:spacing w:val="-1"/>
                    <w:sz w:val="16"/>
                  </w:rPr>
                  <w:t> </w:t>
                </w:r>
                <w:r>
                  <w:rPr>
                    <w:spacing w:val="-2"/>
                    <w:sz w:val="16"/>
                  </w:rPr>
                  <w:t>Guidelines</w:t>
                </w:r>
              </w:p>
            </w:txbxContent>
          </v:textbox>
          <w10:wrap type="none"/>
        </v:shape>
      </w:pic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16555008" from="111.949997pt,47.399979pt" to="327.499997pt,47.399979pt" stroked="true" strokeweight=".96pt" strokecolor="#000000">
          <v:stroke dashstyle="shortdot"/>
          <w10:wrap type="none"/>
        </v:line>
      </w:pict>
    </w:r>
    <w:r>
      <w:rPr/>
      <w:pict>
        <v:shape style="position:absolute;margin-left:112.419998pt;margin-top:34.921581pt;width:61.25pt;height:11pt;mso-position-horizontal-relative:page;mso-position-vertical-relative:page;z-index:-16554496" type="#_x0000_t202" id="docshape50" filled="false" stroked="false">
          <v:textbox inset="0,0,0,0">
            <w:txbxContent>
              <w:p>
                <w:pPr>
                  <w:spacing w:before="15"/>
                  <w:ind w:left="20" w:right="0" w:firstLine="0"/>
                  <w:jc w:val="left"/>
                  <w:rPr>
                    <w:sz w:val="16"/>
                  </w:rPr>
                </w:pPr>
                <w:r>
                  <w:rPr>
                    <w:b/>
                    <w:color w:val="999999"/>
                    <w:sz w:val="16"/>
                  </w:rPr>
                  <w:t>DI</w:t>
                </w:r>
                <w:r>
                  <w:rPr>
                    <w:b/>
                    <w:color w:val="FF0000"/>
                    <w:sz w:val="16"/>
                  </w:rPr>
                  <w:t>P</w:t>
                </w:r>
                <w:r>
                  <w:rPr>
                    <w:b/>
                    <w:color w:val="999999"/>
                    <w:sz w:val="16"/>
                  </w:rPr>
                  <w:t>D</w:t>
                </w:r>
                <w:r>
                  <w:rPr>
                    <w:b/>
                    <w:color w:val="999999"/>
                    <w:spacing w:val="-1"/>
                    <w:sz w:val="16"/>
                  </w:rPr>
                  <w:t> </w:t>
                </w:r>
                <w:r>
                  <w:rPr>
                    <w:spacing w:val="-2"/>
                    <w:sz w:val="16"/>
                  </w:rPr>
                  <w:t>Guidelines</w:t>
                </w:r>
              </w:p>
            </w:txbxContent>
          </v:textbox>
          <w10:wrap type="none"/>
        </v:shape>
      </w:pic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16553472" from="111.949997pt,47.399979pt" to="327.499997pt,47.399979pt" stroked="true" strokeweight=".96pt" strokecolor="#000000">
          <v:stroke dashstyle="shortdot"/>
          <w10:wrap type="none"/>
        </v:line>
      </w:pict>
    </w:r>
    <w:r>
      <w:rPr/>
      <w:pict>
        <v:shape style="position:absolute;margin-left:112.419998pt;margin-top:34.921581pt;width:61.25pt;height:11pt;mso-position-horizontal-relative:page;mso-position-vertical-relative:page;z-index:-16552960" type="#_x0000_t202" id="docshape52" filled="false" stroked="false">
          <v:textbox inset="0,0,0,0">
            <w:txbxContent>
              <w:p>
                <w:pPr>
                  <w:spacing w:before="15"/>
                  <w:ind w:left="20" w:right="0" w:firstLine="0"/>
                  <w:jc w:val="left"/>
                  <w:rPr>
                    <w:sz w:val="16"/>
                  </w:rPr>
                </w:pPr>
                <w:r>
                  <w:rPr>
                    <w:b/>
                    <w:color w:val="999999"/>
                    <w:sz w:val="16"/>
                  </w:rPr>
                  <w:t>DI</w:t>
                </w:r>
                <w:r>
                  <w:rPr>
                    <w:b/>
                    <w:color w:val="FF0000"/>
                    <w:sz w:val="16"/>
                  </w:rPr>
                  <w:t>P</w:t>
                </w:r>
                <w:r>
                  <w:rPr>
                    <w:b/>
                    <w:color w:val="999999"/>
                    <w:sz w:val="16"/>
                  </w:rPr>
                  <w:t>D</w:t>
                </w:r>
                <w:r>
                  <w:rPr>
                    <w:b/>
                    <w:color w:val="999999"/>
                    <w:spacing w:val="-1"/>
                    <w:sz w:val="16"/>
                  </w:rPr>
                  <w:t> </w:t>
                </w:r>
                <w:r>
                  <w:rPr>
                    <w:spacing w:val="-2"/>
                    <w:sz w:val="16"/>
                  </w:rPr>
                  <w:t>Guidelines</w:t>
                </w:r>
              </w:p>
            </w:txbxContent>
          </v:textbox>
          <w10:wrap type="non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16580096" from="111.949997pt,47.399979pt" to="327.499997pt,47.399979pt" stroked="true" strokeweight=".96pt" strokecolor="#000000">
          <v:stroke dashstyle="shortdot"/>
          <w10:wrap type="none"/>
        </v:line>
      </w:pict>
    </w:r>
    <w:r>
      <w:rPr/>
      <w:pict>
        <v:shape style="position:absolute;margin-left:112.419998pt;margin-top:34.921581pt;width:61.25pt;height:11pt;mso-position-horizontal-relative:page;mso-position-vertical-relative:page;z-index:-16579584" type="#_x0000_t202" id="docshape10" filled="false" stroked="false">
          <v:textbox inset="0,0,0,0">
            <w:txbxContent>
              <w:p>
                <w:pPr>
                  <w:spacing w:before="15"/>
                  <w:ind w:left="20" w:right="0" w:firstLine="0"/>
                  <w:jc w:val="left"/>
                  <w:rPr>
                    <w:sz w:val="16"/>
                  </w:rPr>
                </w:pPr>
                <w:r>
                  <w:rPr>
                    <w:b/>
                    <w:color w:val="999999"/>
                    <w:sz w:val="16"/>
                  </w:rPr>
                  <w:t>DI</w:t>
                </w:r>
                <w:r>
                  <w:rPr>
                    <w:b/>
                    <w:color w:val="FF0000"/>
                    <w:sz w:val="16"/>
                  </w:rPr>
                  <w:t>P</w:t>
                </w:r>
                <w:r>
                  <w:rPr>
                    <w:b/>
                    <w:color w:val="999999"/>
                    <w:sz w:val="16"/>
                  </w:rPr>
                  <w:t>D</w:t>
                </w:r>
                <w:r>
                  <w:rPr>
                    <w:b/>
                    <w:color w:val="999999"/>
                    <w:spacing w:val="-1"/>
                    <w:sz w:val="16"/>
                  </w:rPr>
                  <w:t> </w:t>
                </w:r>
                <w:r>
                  <w:rPr>
                    <w:spacing w:val="-2"/>
                    <w:sz w:val="16"/>
                  </w:rPr>
                  <w:t>Guidelines</w:t>
                </w:r>
              </w:p>
            </w:txbxContent>
          </v:textbox>
          <w10:wrap type="none"/>
        </v:shape>
      </w:pict>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16551936" from="111.949997pt,47.399979pt" to="327.499997pt,47.399979pt" stroked="true" strokeweight=".96pt" strokecolor="#000000">
          <v:stroke dashstyle="shortdot"/>
          <w10:wrap type="none"/>
        </v:line>
      </w:pict>
    </w:r>
    <w:r>
      <w:rPr/>
      <w:pict>
        <v:shape style="position:absolute;margin-left:112.419998pt;margin-top:34.921581pt;width:61.25pt;height:11pt;mso-position-horizontal-relative:page;mso-position-vertical-relative:page;z-index:-16551424" type="#_x0000_t202" id="docshape54" filled="false" stroked="false">
          <v:textbox inset="0,0,0,0">
            <w:txbxContent>
              <w:p>
                <w:pPr>
                  <w:spacing w:before="15"/>
                  <w:ind w:left="20" w:right="0" w:firstLine="0"/>
                  <w:jc w:val="left"/>
                  <w:rPr>
                    <w:sz w:val="16"/>
                  </w:rPr>
                </w:pPr>
                <w:r>
                  <w:rPr>
                    <w:b/>
                    <w:color w:val="999999"/>
                    <w:sz w:val="16"/>
                  </w:rPr>
                  <w:t>DI</w:t>
                </w:r>
                <w:r>
                  <w:rPr>
                    <w:b/>
                    <w:color w:val="FF0000"/>
                    <w:sz w:val="16"/>
                  </w:rPr>
                  <w:t>P</w:t>
                </w:r>
                <w:r>
                  <w:rPr>
                    <w:b/>
                    <w:color w:val="999999"/>
                    <w:sz w:val="16"/>
                  </w:rPr>
                  <w:t>D</w:t>
                </w:r>
                <w:r>
                  <w:rPr>
                    <w:b/>
                    <w:color w:val="999999"/>
                    <w:spacing w:val="-1"/>
                    <w:sz w:val="16"/>
                  </w:rPr>
                  <w:t> </w:t>
                </w:r>
                <w:r>
                  <w:rPr>
                    <w:spacing w:val="-2"/>
                    <w:sz w:val="16"/>
                  </w:rPr>
                  <w:t>Guidelines</w:t>
                </w:r>
              </w:p>
            </w:txbxContent>
          </v:textbox>
          <w10:wrap type="none"/>
        </v:shape>
      </w:pict>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16550400" from="111.949997pt,47.399979pt" to="327.499997pt,47.399979pt" stroked="true" strokeweight=".96pt" strokecolor="#000000">
          <v:stroke dashstyle="shortdot"/>
          <w10:wrap type="none"/>
        </v:line>
      </w:pict>
    </w:r>
    <w:r>
      <w:rPr/>
      <w:pict>
        <v:shape style="position:absolute;margin-left:112.419998pt;margin-top:34.921581pt;width:61.25pt;height:11pt;mso-position-horizontal-relative:page;mso-position-vertical-relative:page;z-index:-16549888" type="#_x0000_t202" id="docshape56" filled="false" stroked="false">
          <v:textbox inset="0,0,0,0">
            <w:txbxContent>
              <w:p>
                <w:pPr>
                  <w:spacing w:before="15"/>
                  <w:ind w:left="20" w:right="0" w:firstLine="0"/>
                  <w:jc w:val="left"/>
                  <w:rPr>
                    <w:sz w:val="16"/>
                  </w:rPr>
                </w:pPr>
                <w:r>
                  <w:rPr>
                    <w:b/>
                    <w:color w:val="999999"/>
                    <w:sz w:val="16"/>
                  </w:rPr>
                  <w:t>DI</w:t>
                </w:r>
                <w:r>
                  <w:rPr>
                    <w:b/>
                    <w:color w:val="FF0000"/>
                    <w:sz w:val="16"/>
                  </w:rPr>
                  <w:t>P</w:t>
                </w:r>
                <w:r>
                  <w:rPr>
                    <w:b/>
                    <w:color w:val="999999"/>
                    <w:sz w:val="16"/>
                  </w:rPr>
                  <w:t>D</w:t>
                </w:r>
                <w:r>
                  <w:rPr>
                    <w:b/>
                    <w:color w:val="999999"/>
                    <w:spacing w:val="-1"/>
                    <w:sz w:val="16"/>
                  </w:rPr>
                  <w:t> </w:t>
                </w:r>
                <w:r>
                  <w:rPr>
                    <w:spacing w:val="-2"/>
                    <w:sz w:val="16"/>
                  </w:rPr>
                  <w:t>Guidelines</w:t>
                </w:r>
              </w:p>
            </w:txbxContent>
          </v:textbox>
          <w10:wrap type="none"/>
        </v:shape>
      </w:pict>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16548864" from="111.949997pt,47.399979pt" to="327.499997pt,47.399979pt" stroked="true" strokeweight=".96pt" strokecolor="#000000">
          <v:stroke dashstyle="shortdot"/>
          <w10:wrap type="none"/>
        </v:line>
      </w:pict>
    </w:r>
    <w:r>
      <w:rPr/>
      <w:pict>
        <v:shape style="position:absolute;margin-left:112.419998pt;margin-top:34.921581pt;width:61.25pt;height:11pt;mso-position-horizontal-relative:page;mso-position-vertical-relative:page;z-index:-16548352" type="#_x0000_t202" id="docshape58" filled="false" stroked="false">
          <v:textbox inset="0,0,0,0">
            <w:txbxContent>
              <w:p>
                <w:pPr>
                  <w:spacing w:before="15"/>
                  <w:ind w:left="20" w:right="0" w:firstLine="0"/>
                  <w:jc w:val="left"/>
                  <w:rPr>
                    <w:sz w:val="16"/>
                  </w:rPr>
                </w:pPr>
                <w:r>
                  <w:rPr>
                    <w:b/>
                    <w:color w:val="999999"/>
                    <w:sz w:val="16"/>
                  </w:rPr>
                  <w:t>DI</w:t>
                </w:r>
                <w:r>
                  <w:rPr>
                    <w:b/>
                    <w:color w:val="FF0000"/>
                    <w:sz w:val="16"/>
                  </w:rPr>
                  <w:t>P</w:t>
                </w:r>
                <w:r>
                  <w:rPr>
                    <w:b/>
                    <w:color w:val="999999"/>
                    <w:sz w:val="16"/>
                  </w:rPr>
                  <w:t>D</w:t>
                </w:r>
                <w:r>
                  <w:rPr>
                    <w:b/>
                    <w:color w:val="999999"/>
                    <w:spacing w:val="-1"/>
                    <w:sz w:val="16"/>
                  </w:rPr>
                  <w:t> </w:t>
                </w:r>
                <w:r>
                  <w:rPr>
                    <w:spacing w:val="-2"/>
                    <w:sz w:val="16"/>
                  </w:rPr>
                  <w:t>Guidelines</w:t>
                </w:r>
              </w:p>
            </w:txbxContent>
          </v:textbox>
          <w10:wrap type="none"/>
        </v:shape>
      </w:pict>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16547328" from="111.949997pt,47.399979pt" to="327.499997pt,47.399979pt" stroked="true" strokeweight=".96pt" strokecolor="#000000">
          <v:stroke dashstyle="shortdot"/>
          <w10:wrap type="none"/>
        </v:line>
      </w:pict>
    </w:r>
    <w:r>
      <w:rPr/>
      <w:pict>
        <v:shape style="position:absolute;margin-left:112.419998pt;margin-top:34.921581pt;width:61.25pt;height:11pt;mso-position-horizontal-relative:page;mso-position-vertical-relative:page;z-index:-16546816" type="#_x0000_t202" id="docshape60" filled="false" stroked="false">
          <v:textbox inset="0,0,0,0">
            <w:txbxContent>
              <w:p>
                <w:pPr>
                  <w:spacing w:before="15"/>
                  <w:ind w:left="20" w:right="0" w:firstLine="0"/>
                  <w:jc w:val="left"/>
                  <w:rPr>
                    <w:sz w:val="16"/>
                  </w:rPr>
                </w:pPr>
                <w:r>
                  <w:rPr>
                    <w:b/>
                    <w:color w:val="999999"/>
                    <w:sz w:val="16"/>
                  </w:rPr>
                  <w:t>DI</w:t>
                </w:r>
                <w:r>
                  <w:rPr>
                    <w:b/>
                    <w:color w:val="FF0000"/>
                    <w:sz w:val="16"/>
                  </w:rPr>
                  <w:t>P</w:t>
                </w:r>
                <w:r>
                  <w:rPr>
                    <w:b/>
                    <w:color w:val="999999"/>
                    <w:sz w:val="16"/>
                  </w:rPr>
                  <w:t>D</w:t>
                </w:r>
                <w:r>
                  <w:rPr>
                    <w:b/>
                    <w:color w:val="999999"/>
                    <w:spacing w:val="-1"/>
                    <w:sz w:val="16"/>
                  </w:rPr>
                  <w:t> </w:t>
                </w:r>
                <w:r>
                  <w:rPr>
                    <w:spacing w:val="-2"/>
                    <w:sz w:val="16"/>
                  </w:rPr>
                  <w:t>Guidelines</w:t>
                </w:r>
              </w:p>
            </w:txbxContent>
          </v:textbox>
          <w10:wrap type="none"/>
        </v:shape>
      </w:pict>
    </w: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12.419998pt;margin-top:34.921581pt;width:61.25pt;height:11pt;mso-position-horizontal-relative:page;mso-position-vertical-relative:page;z-index:-16545792" type="#_x0000_t202" id="docshape64" filled="false" stroked="false">
          <v:textbox inset="0,0,0,0">
            <w:txbxContent>
              <w:p>
                <w:pPr>
                  <w:spacing w:before="15"/>
                  <w:ind w:left="20" w:right="0" w:firstLine="0"/>
                  <w:jc w:val="left"/>
                  <w:rPr>
                    <w:sz w:val="16"/>
                  </w:rPr>
                </w:pPr>
                <w:r>
                  <w:rPr>
                    <w:b/>
                    <w:color w:val="999999"/>
                    <w:sz w:val="16"/>
                  </w:rPr>
                  <w:t>DI</w:t>
                </w:r>
                <w:r>
                  <w:rPr>
                    <w:b/>
                    <w:color w:val="FF0000"/>
                    <w:sz w:val="16"/>
                  </w:rPr>
                  <w:t>P</w:t>
                </w:r>
                <w:r>
                  <w:rPr>
                    <w:b/>
                    <w:color w:val="999999"/>
                    <w:sz w:val="16"/>
                  </w:rPr>
                  <w:t>D</w:t>
                </w:r>
                <w:r>
                  <w:rPr>
                    <w:b/>
                    <w:color w:val="999999"/>
                    <w:spacing w:val="-1"/>
                    <w:sz w:val="16"/>
                  </w:rPr>
                  <w:t> </w:t>
                </w:r>
                <w:r>
                  <w:rPr>
                    <w:spacing w:val="-2"/>
                    <w:sz w:val="16"/>
                  </w:rPr>
                  <w:t>Guidelines</w:t>
                </w:r>
              </w:p>
            </w:txbxContent>
          </v:textbox>
          <w10:wrap type="non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16578560" from="111.949997pt,47.399979pt" to="327.499997pt,47.399979pt" stroked="true" strokeweight=".96pt" strokecolor="#000000">
          <v:stroke dashstyle="shortdot"/>
          <w10:wrap type="none"/>
        </v:line>
      </w:pict>
    </w:r>
    <w:r>
      <w:rPr/>
      <w:pict>
        <v:shape style="position:absolute;margin-left:112.419998pt;margin-top:34.921581pt;width:61.25pt;height:11pt;mso-position-horizontal-relative:page;mso-position-vertical-relative:page;z-index:-16578048" type="#_x0000_t202" id="docshape13" filled="false" stroked="false">
          <v:textbox inset="0,0,0,0">
            <w:txbxContent>
              <w:p>
                <w:pPr>
                  <w:spacing w:before="15"/>
                  <w:ind w:left="20" w:right="0" w:firstLine="0"/>
                  <w:jc w:val="left"/>
                  <w:rPr>
                    <w:sz w:val="16"/>
                  </w:rPr>
                </w:pPr>
                <w:r>
                  <w:rPr>
                    <w:b/>
                    <w:color w:val="999999"/>
                    <w:sz w:val="16"/>
                  </w:rPr>
                  <w:t>DI</w:t>
                </w:r>
                <w:r>
                  <w:rPr>
                    <w:b/>
                    <w:color w:val="FF0000"/>
                    <w:sz w:val="16"/>
                  </w:rPr>
                  <w:t>P</w:t>
                </w:r>
                <w:r>
                  <w:rPr>
                    <w:b/>
                    <w:color w:val="999999"/>
                    <w:sz w:val="16"/>
                  </w:rPr>
                  <w:t>D</w:t>
                </w:r>
                <w:r>
                  <w:rPr>
                    <w:b/>
                    <w:color w:val="999999"/>
                    <w:spacing w:val="-1"/>
                    <w:sz w:val="16"/>
                  </w:rPr>
                  <w:t> </w:t>
                </w:r>
                <w:r>
                  <w:rPr>
                    <w:spacing w:val="-2"/>
                    <w:sz w:val="16"/>
                  </w:rPr>
                  <w:t>Guidelines</w:t>
                </w:r>
              </w:p>
            </w:txbxContent>
          </v:textbox>
          <w10:wrap type="non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16576512" from="111.949997pt,47.399979pt" to="327.499997pt,47.399979pt" stroked="true" strokeweight=".96pt" strokecolor="#000000">
          <v:stroke dashstyle="shortdot"/>
          <w10:wrap type="none"/>
        </v:line>
      </w:pict>
    </w:r>
    <w:r>
      <w:rPr/>
      <w:pict>
        <v:shape style="position:absolute;margin-left:112.419998pt;margin-top:34.921581pt;width:61.25pt;height:11pt;mso-position-horizontal-relative:page;mso-position-vertical-relative:page;z-index:-16576000" type="#_x0000_t202" id="docshape16" filled="false" stroked="false">
          <v:textbox inset="0,0,0,0">
            <w:txbxContent>
              <w:p>
                <w:pPr>
                  <w:spacing w:before="15"/>
                  <w:ind w:left="20" w:right="0" w:firstLine="0"/>
                  <w:jc w:val="left"/>
                  <w:rPr>
                    <w:sz w:val="16"/>
                  </w:rPr>
                </w:pPr>
                <w:r>
                  <w:rPr>
                    <w:b/>
                    <w:color w:val="999999"/>
                    <w:sz w:val="16"/>
                  </w:rPr>
                  <w:t>DI</w:t>
                </w:r>
                <w:r>
                  <w:rPr>
                    <w:b/>
                    <w:color w:val="FF0000"/>
                    <w:sz w:val="16"/>
                  </w:rPr>
                  <w:t>P</w:t>
                </w:r>
                <w:r>
                  <w:rPr>
                    <w:b/>
                    <w:color w:val="999999"/>
                    <w:sz w:val="16"/>
                  </w:rPr>
                  <w:t>D</w:t>
                </w:r>
                <w:r>
                  <w:rPr>
                    <w:b/>
                    <w:color w:val="999999"/>
                    <w:spacing w:val="-1"/>
                    <w:sz w:val="16"/>
                  </w:rPr>
                  <w:t> </w:t>
                </w:r>
                <w:r>
                  <w:rPr>
                    <w:spacing w:val="-2"/>
                    <w:sz w:val="16"/>
                  </w:rPr>
                  <w:t>Guidelines</w:t>
                </w:r>
              </w:p>
            </w:txbxContent>
          </v:textbox>
          <w10:wrap type="non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16574976" from="111.949997pt,47.399979pt" to="327.499997pt,47.399979pt" stroked="true" strokeweight=".96pt" strokecolor="#000000">
          <v:stroke dashstyle="shortdot"/>
          <w10:wrap type="none"/>
        </v:line>
      </w:pict>
    </w:r>
    <w:r>
      <w:rPr/>
      <w:pict>
        <v:shape style="position:absolute;margin-left:112.419998pt;margin-top:34.921581pt;width:61.25pt;height:11pt;mso-position-horizontal-relative:page;mso-position-vertical-relative:page;z-index:-16574464" type="#_x0000_t202" id="docshape22" filled="false" stroked="false">
          <v:textbox inset="0,0,0,0">
            <w:txbxContent>
              <w:p>
                <w:pPr>
                  <w:spacing w:before="15"/>
                  <w:ind w:left="20" w:right="0" w:firstLine="0"/>
                  <w:jc w:val="left"/>
                  <w:rPr>
                    <w:sz w:val="16"/>
                  </w:rPr>
                </w:pPr>
                <w:r>
                  <w:rPr>
                    <w:b/>
                    <w:color w:val="999999"/>
                    <w:sz w:val="16"/>
                  </w:rPr>
                  <w:t>DI</w:t>
                </w:r>
                <w:r>
                  <w:rPr>
                    <w:b/>
                    <w:color w:val="FF0000"/>
                    <w:sz w:val="16"/>
                  </w:rPr>
                  <w:t>P</w:t>
                </w:r>
                <w:r>
                  <w:rPr>
                    <w:b/>
                    <w:color w:val="999999"/>
                    <w:sz w:val="16"/>
                  </w:rPr>
                  <w:t>D</w:t>
                </w:r>
                <w:r>
                  <w:rPr>
                    <w:b/>
                    <w:color w:val="999999"/>
                    <w:spacing w:val="-1"/>
                    <w:sz w:val="16"/>
                  </w:rPr>
                  <w:t> </w:t>
                </w:r>
                <w:r>
                  <w:rPr>
                    <w:spacing w:val="-2"/>
                    <w:sz w:val="16"/>
                  </w:rPr>
                  <w:t>Guidelines</w:t>
                </w:r>
              </w:p>
            </w:txbxContent>
          </v:textbox>
          <w10:wrap type="non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16573440" from="111.949997pt,47.399979pt" to="327.499997pt,47.399979pt" stroked="true" strokeweight=".96pt" strokecolor="#000000">
          <v:stroke dashstyle="shortdot"/>
          <w10:wrap type="none"/>
        </v:line>
      </w:pict>
    </w:r>
    <w:r>
      <w:rPr/>
      <w:pict>
        <v:shape style="position:absolute;margin-left:112.419998pt;margin-top:34.921581pt;width:61.25pt;height:11pt;mso-position-horizontal-relative:page;mso-position-vertical-relative:page;z-index:-16572928" type="#_x0000_t202" id="docshape24" filled="false" stroked="false">
          <v:textbox inset="0,0,0,0">
            <w:txbxContent>
              <w:p>
                <w:pPr>
                  <w:spacing w:before="15"/>
                  <w:ind w:left="20" w:right="0" w:firstLine="0"/>
                  <w:jc w:val="left"/>
                  <w:rPr>
                    <w:sz w:val="16"/>
                  </w:rPr>
                </w:pPr>
                <w:r>
                  <w:rPr>
                    <w:b/>
                    <w:color w:val="999999"/>
                    <w:sz w:val="16"/>
                  </w:rPr>
                  <w:t>DI</w:t>
                </w:r>
                <w:r>
                  <w:rPr>
                    <w:b/>
                    <w:color w:val="FF0000"/>
                    <w:sz w:val="16"/>
                  </w:rPr>
                  <w:t>P</w:t>
                </w:r>
                <w:r>
                  <w:rPr>
                    <w:b/>
                    <w:color w:val="999999"/>
                    <w:sz w:val="16"/>
                  </w:rPr>
                  <w:t>D</w:t>
                </w:r>
                <w:r>
                  <w:rPr>
                    <w:b/>
                    <w:color w:val="999999"/>
                    <w:spacing w:val="-1"/>
                    <w:sz w:val="16"/>
                  </w:rPr>
                  <w:t> </w:t>
                </w:r>
                <w:r>
                  <w:rPr>
                    <w:spacing w:val="-2"/>
                    <w:sz w:val="16"/>
                  </w:rPr>
                  <w:t>Guidelines</w:t>
                </w:r>
              </w:p>
            </w:txbxContent>
          </v:textbox>
          <w10:wrap type="none"/>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16571904" from="111.949997pt,47.399979pt" to="327.499997pt,47.399979pt" stroked="true" strokeweight=".96pt" strokecolor="#000000">
          <v:stroke dashstyle="shortdot"/>
          <w10:wrap type="none"/>
        </v:line>
      </w:pict>
    </w:r>
    <w:r>
      <w:rPr/>
      <w:pict>
        <v:shape style="position:absolute;margin-left:112.419998pt;margin-top:34.921581pt;width:61.25pt;height:11pt;mso-position-horizontal-relative:page;mso-position-vertical-relative:page;z-index:-16571392" type="#_x0000_t202" id="docshape26" filled="false" stroked="false">
          <v:textbox inset="0,0,0,0">
            <w:txbxContent>
              <w:p>
                <w:pPr>
                  <w:spacing w:before="15"/>
                  <w:ind w:left="20" w:right="0" w:firstLine="0"/>
                  <w:jc w:val="left"/>
                  <w:rPr>
                    <w:sz w:val="16"/>
                  </w:rPr>
                </w:pPr>
                <w:r>
                  <w:rPr>
                    <w:b/>
                    <w:color w:val="999999"/>
                    <w:sz w:val="16"/>
                  </w:rPr>
                  <w:t>DI</w:t>
                </w:r>
                <w:r>
                  <w:rPr>
                    <w:b/>
                    <w:color w:val="FF0000"/>
                    <w:sz w:val="16"/>
                  </w:rPr>
                  <w:t>P</w:t>
                </w:r>
                <w:r>
                  <w:rPr>
                    <w:b/>
                    <w:color w:val="999999"/>
                    <w:sz w:val="16"/>
                  </w:rPr>
                  <w:t>D</w:t>
                </w:r>
                <w:r>
                  <w:rPr>
                    <w:b/>
                    <w:color w:val="999999"/>
                    <w:spacing w:val="-1"/>
                    <w:sz w:val="16"/>
                  </w:rPr>
                  <w:t> </w:t>
                </w:r>
                <w:r>
                  <w:rPr>
                    <w:spacing w:val="-2"/>
                    <w:sz w:val="16"/>
                  </w:rPr>
                  <w:t>Guidelines</w:t>
                </w:r>
              </w:p>
            </w:txbxContent>
          </v:textbox>
          <w10:wrap type="none"/>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16570368" from="111.949997pt,47.399979pt" to="327.499997pt,47.399979pt" stroked="true" strokeweight=".96pt" strokecolor="#000000">
          <v:stroke dashstyle="shortdot"/>
          <w10:wrap type="none"/>
        </v:line>
      </w:pict>
    </w:r>
    <w:r>
      <w:rPr/>
      <w:pict>
        <v:shape style="position:absolute;margin-left:112.419998pt;margin-top:34.921581pt;width:61.25pt;height:11pt;mso-position-horizontal-relative:page;mso-position-vertical-relative:page;z-index:-16569856" type="#_x0000_t202" id="docshape28" filled="false" stroked="false">
          <v:textbox inset="0,0,0,0">
            <w:txbxContent>
              <w:p>
                <w:pPr>
                  <w:spacing w:before="15"/>
                  <w:ind w:left="20" w:right="0" w:firstLine="0"/>
                  <w:jc w:val="left"/>
                  <w:rPr>
                    <w:sz w:val="16"/>
                  </w:rPr>
                </w:pPr>
                <w:r>
                  <w:rPr>
                    <w:b/>
                    <w:color w:val="999999"/>
                    <w:sz w:val="16"/>
                  </w:rPr>
                  <w:t>DI</w:t>
                </w:r>
                <w:r>
                  <w:rPr>
                    <w:b/>
                    <w:color w:val="FF0000"/>
                    <w:sz w:val="16"/>
                  </w:rPr>
                  <w:t>P</w:t>
                </w:r>
                <w:r>
                  <w:rPr>
                    <w:b/>
                    <w:color w:val="999999"/>
                    <w:sz w:val="16"/>
                  </w:rPr>
                  <w:t>D</w:t>
                </w:r>
                <w:r>
                  <w:rPr>
                    <w:b/>
                    <w:color w:val="999999"/>
                    <w:spacing w:val="-1"/>
                    <w:sz w:val="16"/>
                  </w:rPr>
                  <w:t> </w:t>
                </w:r>
                <w:r>
                  <w:rPr>
                    <w:spacing w:val="-2"/>
                    <w:sz w:val="16"/>
                  </w:rPr>
                  <w:t>Guidelines</w:t>
                </w:r>
              </w:p>
            </w:txbxContent>
          </v:textbox>
          <w10:wrap type="none"/>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16568832" from="111.949997pt,47.399979pt" to="327.499997pt,47.399979pt" stroked="true" strokeweight=".96pt" strokecolor="#000000">
          <v:stroke dashstyle="shortdot"/>
          <w10:wrap type="none"/>
        </v:line>
      </w:pict>
    </w:r>
    <w:r>
      <w:rPr/>
      <w:pict>
        <v:shape style="position:absolute;margin-left:112.419998pt;margin-top:34.921581pt;width:61.25pt;height:11pt;mso-position-horizontal-relative:page;mso-position-vertical-relative:page;z-index:-16568320" type="#_x0000_t202" id="docshape30" filled="false" stroked="false">
          <v:textbox inset="0,0,0,0">
            <w:txbxContent>
              <w:p>
                <w:pPr>
                  <w:spacing w:before="15"/>
                  <w:ind w:left="20" w:right="0" w:firstLine="0"/>
                  <w:jc w:val="left"/>
                  <w:rPr>
                    <w:sz w:val="16"/>
                  </w:rPr>
                </w:pPr>
                <w:r>
                  <w:rPr>
                    <w:b/>
                    <w:color w:val="999999"/>
                    <w:sz w:val="16"/>
                  </w:rPr>
                  <w:t>DI</w:t>
                </w:r>
                <w:r>
                  <w:rPr>
                    <w:b/>
                    <w:color w:val="FF0000"/>
                    <w:sz w:val="16"/>
                  </w:rPr>
                  <w:t>P</w:t>
                </w:r>
                <w:r>
                  <w:rPr>
                    <w:b/>
                    <w:color w:val="999999"/>
                    <w:sz w:val="16"/>
                  </w:rPr>
                  <w:t>D</w:t>
                </w:r>
                <w:r>
                  <w:rPr>
                    <w:b/>
                    <w:color w:val="999999"/>
                    <w:spacing w:val="-1"/>
                    <w:sz w:val="16"/>
                  </w:rPr>
                  <w:t> </w:t>
                </w:r>
                <w:r>
                  <w:rPr>
                    <w:spacing w:val="-2"/>
                    <w:sz w:val="16"/>
                  </w:rPr>
                  <w:t>Guidelines</w:t>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3">
    <w:multiLevelType w:val="hybridMultilevel"/>
    <w:lvl w:ilvl="0">
      <w:start w:val="1"/>
      <w:numFmt w:val="decimal"/>
      <w:lvlText w:val="%1."/>
      <w:lvlJc w:val="left"/>
      <w:pPr>
        <w:ind w:left="963" w:hanging="800"/>
        <w:jc w:val="left"/>
      </w:pPr>
      <w:rPr>
        <w:rFonts w:hint="default" w:ascii="Arial" w:hAnsi="Arial" w:eastAsia="Arial" w:cs="Arial"/>
        <w:b/>
        <w:bCs/>
        <w:i w:val="0"/>
        <w:iCs w:val="0"/>
        <w:w w:val="100"/>
        <w:sz w:val="72"/>
        <w:szCs w:val="72"/>
        <w:lang w:val="es-ES" w:eastAsia="en-US" w:bidi="ar-SA"/>
      </w:rPr>
    </w:lvl>
    <w:lvl w:ilvl="1">
      <w:start w:val="1"/>
      <w:numFmt w:val="decimal"/>
      <w:lvlText w:val="%1.%2"/>
      <w:lvlJc w:val="left"/>
      <w:pPr>
        <w:ind w:left="812" w:hanging="696"/>
        <w:jc w:val="left"/>
      </w:pPr>
      <w:rPr>
        <w:rFonts w:hint="default" w:ascii="Arial" w:hAnsi="Arial" w:eastAsia="Arial" w:cs="Arial"/>
        <w:b w:val="0"/>
        <w:bCs w:val="0"/>
        <w:i w:val="0"/>
        <w:iCs w:val="0"/>
        <w:color w:val="FF0000"/>
        <w:w w:val="99"/>
        <w:sz w:val="24"/>
        <w:szCs w:val="24"/>
        <w:lang w:val="es-ES" w:eastAsia="en-US" w:bidi="ar-SA"/>
      </w:rPr>
    </w:lvl>
    <w:lvl w:ilvl="2">
      <w:start w:val="1"/>
      <w:numFmt w:val="decimal"/>
      <w:lvlText w:val="%1.%2.%3"/>
      <w:lvlJc w:val="left"/>
      <w:pPr>
        <w:ind w:left="658" w:hanging="557"/>
        <w:jc w:val="left"/>
      </w:pPr>
      <w:rPr>
        <w:rFonts w:hint="default" w:ascii="Arial" w:hAnsi="Arial" w:eastAsia="Arial" w:cs="Arial"/>
        <w:b w:val="0"/>
        <w:bCs w:val="0"/>
        <w:i w:val="0"/>
        <w:iCs w:val="0"/>
        <w:color w:val="FF0000"/>
        <w:spacing w:val="-1"/>
        <w:w w:val="99"/>
        <w:sz w:val="20"/>
        <w:szCs w:val="20"/>
        <w:lang w:val="es-ES" w:eastAsia="en-US" w:bidi="ar-SA"/>
      </w:rPr>
    </w:lvl>
    <w:lvl w:ilvl="3">
      <w:start w:val="1"/>
      <w:numFmt w:val="decimal"/>
      <w:lvlText w:val="%4."/>
      <w:lvlJc w:val="left"/>
      <w:pPr>
        <w:ind w:left="1556" w:hanging="380"/>
        <w:jc w:val="left"/>
      </w:pPr>
      <w:rPr>
        <w:rFonts w:hint="default"/>
        <w:spacing w:val="-1"/>
        <w:w w:val="99"/>
        <w:lang w:val="es-ES" w:eastAsia="en-US" w:bidi="ar-SA"/>
      </w:rPr>
    </w:lvl>
    <w:lvl w:ilvl="4">
      <w:start w:val="0"/>
      <w:numFmt w:val="bullet"/>
      <w:lvlText w:val="•"/>
      <w:lvlJc w:val="left"/>
      <w:pPr>
        <w:ind w:left="720" w:hanging="380"/>
      </w:pPr>
      <w:rPr>
        <w:rFonts w:hint="default"/>
        <w:lang w:val="es-ES" w:eastAsia="en-US" w:bidi="ar-SA"/>
      </w:rPr>
    </w:lvl>
    <w:lvl w:ilvl="5">
      <w:start w:val="0"/>
      <w:numFmt w:val="bullet"/>
      <w:lvlText w:val="•"/>
      <w:lvlJc w:val="left"/>
      <w:pPr>
        <w:ind w:left="820" w:hanging="380"/>
      </w:pPr>
      <w:rPr>
        <w:rFonts w:hint="default"/>
        <w:lang w:val="es-ES" w:eastAsia="en-US" w:bidi="ar-SA"/>
      </w:rPr>
    </w:lvl>
    <w:lvl w:ilvl="6">
      <w:start w:val="0"/>
      <w:numFmt w:val="bullet"/>
      <w:lvlText w:val="•"/>
      <w:lvlJc w:val="left"/>
      <w:pPr>
        <w:ind w:left="960" w:hanging="380"/>
      </w:pPr>
      <w:rPr>
        <w:rFonts w:hint="default"/>
        <w:lang w:val="es-ES" w:eastAsia="en-US" w:bidi="ar-SA"/>
      </w:rPr>
    </w:lvl>
    <w:lvl w:ilvl="7">
      <w:start w:val="0"/>
      <w:numFmt w:val="bullet"/>
      <w:lvlText w:val="•"/>
      <w:lvlJc w:val="left"/>
      <w:pPr>
        <w:ind w:left="1040" w:hanging="380"/>
      </w:pPr>
      <w:rPr>
        <w:rFonts w:hint="default"/>
        <w:lang w:val="es-ES" w:eastAsia="en-US" w:bidi="ar-SA"/>
      </w:rPr>
    </w:lvl>
    <w:lvl w:ilvl="8">
      <w:start w:val="0"/>
      <w:numFmt w:val="bullet"/>
      <w:lvlText w:val="•"/>
      <w:lvlJc w:val="left"/>
      <w:pPr>
        <w:ind w:left="1180" w:hanging="380"/>
      </w:pPr>
      <w:rPr>
        <w:rFonts w:hint="default"/>
        <w:lang w:val="es-ES" w:eastAsia="en-US" w:bidi="ar-SA"/>
      </w:rPr>
    </w:lvl>
  </w:abstractNum>
  <w:abstractNum w:abstractNumId="2">
    <w:multiLevelType w:val="hybridMultilevel"/>
    <w:lvl w:ilvl="0">
      <w:start w:val="1"/>
      <w:numFmt w:val="decimal"/>
      <w:lvlText w:val="%1."/>
      <w:lvlJc w:val="left"/>
      <w:pPr>
        <w:ind w:left="1167" w:hanging="214"/>
        <w:jc w:val="left"/>
      </w:pPr>
      <w:rPr>
        <w:rFonts w:hint="default" w:ascii="Arial" w:hAnsi="Arial" w:eastAsia="Arial" w:cs="Arial"/>
        <w:b w:val="0"/>
        <w:bCs w:val="0"/>
        <w:i w:val="0"/>
        <w:iCs w:val="0"/>
        <w:w w:val="99"/>
        <w:sz w:val="20"/>
        <w:szCs w:val="20"/>
        <w:lang w:val="es-ES" w:eastAsia="en-US" w:bidi="ar-SA"/>
      </w:rPr>
    </w:lvl>
    <w:lvl w:ilvl="1">
      <w:start w:val="0"/>
      <w:numFmt w:val="bullet"/>
      <w:lvlText w:val="•"/>
      <w:lvlJc w:val="left"/>
      <w:pPr>
        <w:ind w:left="1964" w:hanging="214"/>
      </w:pPr>
      <w:rPr>
        <w:rFonts w:hint="default"/>
        <w:lang w:val="es-ES" w:eastAsia="en-US" w:bidi="ar-SA"/>
      </w:rPr>
    </w:lvl>
    <w:lvl w:ilvl="2">
      <w:start w:val="0"/>
      <w:numFmt w:val="bullet"/>
      <w:lvlText w:val="•"/>
      <w:lvlJc w:val="left"/>
      <w:pPr>
        <w:ind w:left="2769" w:hanging="214"/>
      </w:pPr>
      <w:rPr>
        <w:rFonts w:hint="default"/>
        <w:lang w:val="es-ES" w:eastAsia="en-US" w:bidi="ar-SA"/>
      </w:rPr>
    </w:lvl>
    <w:lvl w:ilvl="3">
      <w:start w:val="0"/>
      <w:numFmt w:val="bullet"/>
      <w:lvlText w:val="•"/>
      <w:lvlJc w:val="left"/>
      <w:pPr>
        <w:ind w:left="3573" w:hanging="214"/>
      </w:pPr>
      <w:rPr>
        <w:rFonts w:hint="default"/>
        <w:lang w:val="es-ES" w:eastAsia="en-US" w:bidi="ar-SA"/>
      </w:rPr>
    </w:lvl>
    <w:lvl w:ilvl="4">
      <w:start w:val="0"/>
      <w:numFmt w:val="bullet"/>
      <w:lvlText w:val="•"/>
      <w:lvlJc w:val="left"/>
      <w:pPr>
        <w:ind w:left="4378" w:hanging="214"/>
      </w:pPr>
      <w:rPr>
        <w:rFonts w:hint="default"/>
        <w:lang w:val="es-ES" w:eastAsia="en-US" w:bidi="ar-SA"/>
      </w:rPr>
    </w:lvl>
    <w:lvl w:ilvl="5">
      <w:start w:val="0"/>
      <w:numFmt w:val="bullet"/>
      <w:lvlText w:val="•"/>
      <w:lvlJc w:val="left"/>
      <w:pPr>
        <w:ind w:left="5183" w:hanging="214"/>
      </w:pPr>
      <w:rPr>
        <w:rFonts w:hint="default"/>
        <w:lang w:val="es-ES" w:eastAsia="en-US" w:bidi="ar-SA"/>
      </w:rPr>
    </w:lvl>
    <w:lvl w:ilvl="6">
      <w:start w:val="0"/>
      <w:numFmt w:val="bullet"/>
      <w:lvlText w:val="•"/>
      <w:lvlJc w:val="left"/>
      <w:pPr>
        <w:ind w:left="5987" w:hanging="214"/>
      </w:pPr>
      <w:rPr>
        <w:rFonts w:hint="default"/>
        <w:lang w:val="es-ES" w:eastAsia="en-US" w:bidi="ar-SA"/>
      </w:rPr>
    </w:lvl>
    <w:lvl w:ilvl="7">
      <w:start w:val="0"/>
      <w:numFmt w:val="bullet"/>
      <w:lvlText w:val="•"/>
      <w:lvlJc w:val="left"/>
      <w:pPr>
        <w:ind w:left="6792" w:hanging="214"/>
      </w:pPr>
      <w:rPr>
        <w:rFonts w:hint="default"/>
        <w:lang w:val="es-ES" w:eastAsia="en-US" w:bidi="ar-SA"/>
      </w:rPr>
    </w:lvl>
    <w:lvl w:ilvl="8">
      <w:start w:val="0"/>
      <w:numFmt w:val="bullet"/>
      <w:lvlText w:val="•"/>
      <w:lvlJc w:val="left"/>
      <w:pPr>
        <w:ind w:left="7597" w:hanging="214"/>
      </w:pPr>
      <w:rPr>
        <w:rFonts w:hint="default"/>
        <w:lang w:val="es-ES" w:eastAsia="en-US" w:bidi="ar-SA"/>
      </w:rPr>
    </w:lvl>
  </w:abstractNum>
  <w:abstractNum w:abstractNumId="1">
    <w:multiLevelType w:val="hybridMultilevel"/>
    <w:lvl w:ilvl="0">
      <w:start w:val="1"/>
      <w:numFmt w:val="decimal"/>
      <w:lvlText w:val="%1."/>
      <w:lvlJc w:val="left"/>
      <w:pPr>
        <w:ind w:left="1174" w:hanging="221"/>
        <w:jc w:val="left"/>
      </w:pPr>
      <w:rPr>
        <w:rFonts w:hint="default" w:ascii="Arial" w:hAnsi="Arial" w:eastAsia="Arial" w:cs="Arial"/>
        <w:b/>
        <w:bCs/>
        <w:i w:val="0"/>
        <w:iCs w:val="0"/>
        <w:spacing w:val="-1"/>
        <w:w w:val="99"/>
        <w:sz w:val="20"/>
        <w:szCs w:val="20"/>
        <w:lang w:val="es-ES" w:eastAsia="en-US" w:bidi="ar-SA"/>
      </w:rPr>
    </w:lvl>
    <w:lvl w:ilvl="1">
      <w:start w:val="1"/>
      <w:numFmt w:val="decimal"/>
      <w:lvlText w:val="%1.%2"/>
      <w:lvlJc w:val="left"/>
      <w:pPr>
        <w:ind w:left="1662" w:hanging="708"/>
        <w:jc w:val="left"/>
      </w:pPr>
      <w:rPr>
        <w:rFonts w:hint="default" w:ascii="Arial" w:hAnsi="Arial" w:eastAsia="Arial" w:cs="Arial"/>
        <w:b w:val="0"/>
        <w:bCs w:val="0"/>
        <w:i w:val="0"/>
        <w:iCs w:val="0"/>
        <w:spacing w:val="-1"/>
        <w:w w:val="99"/>
        <w:sz w:val="20"/>
        <w:szCs w:val="20"/>
        <w:lang w:val="es-ES" w:eastAsia="en-US" w:bidi="ar-SA"/>
      </w:rPr>
    </w:lvl>
    <w:lvl w:ilvl="2">
      <w:start w:val="1"/>
      <w:numFmt w:val="decimal"/>
      <w:lvlText w:val="%1.%2.%3"/>
      <w:lvlJc w:val="left"/>
      <w:pPr>
        <w:ind w:left="2394" w:hanging="733"/>
        <w:jc w:val="left"/>
      </w:pPr>
      <w:rPr>
        <w:rFonts w:hint="default" w:ascii="Arial" w:hAnsi="Arial" w:eastAsia="Arial" w:cs="Arial"/>
        <w:b w:val="0"/>
        <w:bCs w:val="0"/>
        <w:i/>
        <w:iCs/>
        <w:w w:val="99"/>
        <w:sz w:val="18"/>
        <w:szCs w:val="18"/>
        <w:lang w:val="es-ES" w:eastAsia="en-US" w:bidi="ar-SA"/>
      </w:rPr>
    </w:lvl>
    <w:lvl w:ilvl="3">
      <w:start w:val="0"/>
      <w:numFmt w:val="bullet"/>
      <w:lvlText w:val="•"/>
      <w:lvlJc w:val="left"/>
      <w:pPr>
        <w:ind w:left="3250" w:hanging="733"/>
      </w:pPr>
      <w:rPr>
        <w:rFonts w:hint="default"/>
        <w:lang w:val="es-ES" w:eastAsia="en-US" w:bidi="ar-SA"/>
      </w:rPr>
    </w:lvl>
    <w:lvl w:ilvl="4">
      <w:start w:val="0"/>
      <w:numFmt w:val="bullet"/>
      <w:lvlText w:val="•"/>
      <w:lvlJc w:val="left"/>
      <w:pPr>
        <w:ind w:left="4101" w:hanging="733"/>
      </w:pPr>
      <w:rPr>
        <w:rFonts w:hint="default"/>
        <w:lang w:val="es-ES" w:eastAsia="en-US" w:bidi="ar-SA"/>
      </w:rPr>
    </w:lvl>
    <w:lvl w:ilvl="5">
      <w:start w:val="0"/>
      <w:numFmt w:val="bullet"/>
      <w:lvlText w:val="•"/>
      <w:lvlJc w:val="left"/>
      <w:pPr>
        <w:ind w:left="4952" w:hanging="733"/>
      </w:pPr>
      <w:rPr>
        <w:rFonts w:hint="default"/>
        <w:lang w:val="es-ES" w:eastAsia="en-US" w:bidi="ar-SA"/>
      </w:rPr>
    </w:lvl>
    <w:lvl w:ilvl="6">
      <w:start w:val="0"/>
      <w:numFmt w:val="bullet"/>
      <w:lvlText w:val="•"/>
      <w:lvlJc w:val="left"/>
      <w:pPr>
        <w:ind w:left="5803" w:hanging="733"/>
      </w:pPr>
      <w:rPr>
        <w:rFonts w:hint="default"/>
        <w:lang w:val="es-ES" w:eastAsia="en-US" w:bidi="ar-SA"/>
      </w:rPr>
    </w:lvl>
    <w:lvl w:ilvl="7">
      <w:start w:val="0"/>
      <w:numFmt w:val="bullet"/>
      <w:lvlText w:val="•"/>
      <w:lvlJc w:val="left"/>
      <w:pPr>
        <w:ind w:left="6654" w:hanging="733"/>
      </w:pPr>
      <w:rPr>
        <w:rFonts w:hint="default"/>
        <w:lang w:val="es-ES" w:eastAsia="en-US" w:bidi="ar-SA"/>
      </w:rPr>
    </w:lvl>
    <w:lvl w:ilvl="8">
      <w:start w:val="0"/>
      <w:numFmt w:val="bullet"/>
      <w:lvlText w:val="•"/>
      <w:lvlJc w:val="left"/>
      <w:pPr>
        <w:ind w:left="7504" w:hanging="733"/>
      </w:pPr>
      <w:rPr>
        <w:rFonts w:hint="default"/>
        <w:lang w:val="es-ES" w:eastAsia="en-US" w:bidi="ar-SA"/>
      </w:rPr>
    </w:lvl>
  </w:abstractNum>
  <w:abstractNum w:abstractNumId="0">
    <w:multiLevelType w:val="hybridMultilevel"/>
    <w:lvl w:ilvl="0">
      <w:start w:val="2"/>
      <w:numFmt w:val="decimal"/>
      <w:lvlText w:val="%1."/>
      <w:lvlJc w:val="left"/>
      <w:pPr>
        <w:ind w:left="1817" w:hanging="971"/>
        <w:jc w:val="left"/>
      </w:pPr>
      <w:rPr>
        <w:rFonts w:hint="default" w:ascii="Arial" w:hAnsi="Arial" w:eastAsia="Arial" w:cs="Arial"/>
        <w:b w:val="0"/>
        <w:bCs w:val="0"/>
        <w:i w:val="0"/>
        <w:iCs w:val="0"/>
        <w:color w:val="FFFFFF"/>
        <w:w w:val="100"/>
        <w:position w:val="-6"/>
        <w:sz w:val="72"/>
        <w:szCs w:val="72"/>
        <w:lang w:val="es-ES" w:eastAsia="en-US" w:bidi="ar-SA"/>
      </w:rPr>
    </w:lvl>
    <w:lvl w:ilvl="1">
      <w:start w:val="0"/>
      <w:numFmt w:val="bullet"/>
      <w:lvlText w:val="•"/>
      <w:lvlJc w:val="left"/>
      <w:pPr>
        <w:ind w:left="2441" w:hanging="971"/>
      </w:pPr>
      <w:rPr>
        <w:rFonts w:hint="default"/>
        <w:lang w:val="es-ES" w:eastAsia="en-US" w:bidi="ar-SA"/>
      </w:rPr>
    </w:lvl>
    <w:lvl w:ilvl="2">
      <w:start w:val="0"/>
      <w:numFmt w:val="bullet"/>
      <w:lvlText w:val="•"/>
      <w:lvlJc w:val="left"/>
      <w:pPr>
        <w:ind w:left="3062" w:hanging="971"/>
      </w:pPr>
      <w:rPr>
        <w:rFonts w:hint="default"/>
        <w:lang w:val="es-ES" w:eastAsia="en-US" w:bidi="ar-SA"/>
      </w:rPr>
    </w:lvl>
    <w:lvl w:ilvl="3">
      <w:start w:val="0"/>
      <w:numFmt w:val="bullet"/>
      <w:lvlText w:val="•"/>
      <w:lvlJc w:val="left"/>
      <w:pPr>
        <w:ind w:left="3683" w:hanging="971"/>
      </w:pPr>
      <w:rPr>
        <w:rFonts w:hint="default"/>
        <w:lang w:val="es-ES" w:eastAsia="en-US" w:bidi="ar-SA"/>
      </w:rPr>
    </w:lvl>
    <w:lvl w:ilvl="4">
      <w:start w:val="0"/>
      <w:numFmt w:val="bullet"/>
      <w:lvlText w:val="•"/>
      <w:lvlJc w:val="left"/>
      <w:pPr>
        <w:ind w:left="4304" w:hanging="971"/>
      </w:pPr>
      <w:rPr>
        <w:rFonts w:hint="default"/>
        <w:lang w:val="es-ES" w:eastAsia="en-US" w:bidi="ar-SA"/>
      </w:rPr>
    </w:lvl>
    <w:lvl w:ilvl="5">
      <w:start w:val="0"/>
      <w:numFmt w:val="bullet"/>
      <w:lvlText w:val="•"/>
      <w:lvlJc w:val="left"/>
      <w:pPr>
        <w:ind w:left="4925" w:hanging="971"/>
      </w:pPr>
      <w:rPr>
        <w:rFonts w:hint="default"/>
        <w:lang w:val="es-ES" w:eastAsia="en-US" w:bidi="ar-SA"/>
      </w:rPr>
    </w:lvl>
    <w:lvl w:ilvl="6">
      <w:start w:val="0"/>
      <w:numFmt w:val="bullet"/>
      <w:lvlText w:val="•"/>
      <w:lvlJc w:val="left"/>
      <w:pPr>
        <w:ind w:left="5546" w:hanging="971"/>
      </w:pPr>
      <w:rPr>
        <w:rFonts w:hint="default"/>
        <w:lang w:val="es-ES" w:eastAsia="en-US" w:bidi="ar-SA"/>
      </w:rPr>
    </w:lvl>
    <w:lvl w:ilvl="7">
      <w:start w:val="0"/>
      <w:numFmt w:val="bullet"/>
      <w:lvlText w:val="•"/>
      <w:lvlJc w:val="left"/>
      <w:pPr>
        <w:ind w:left="6167" w:hanging="971"/>
      </w:pPr>
      <w:rPr>
        <w:rFonts w:hint="default"/>
        <w:lang w:val="es-ES" w:eastAsia="en-US" w:bidi="ar-SA"/>
      </w:rPr>
    </w:lvl>
    <w:lvl w:ilvl="8">
      <w:start w:val="0"/>
      <w:numFmt w:val="bullet"/>
      <w:lvlText w:val="•"/>
      <w:lvlJc w:val="left"/>
      <w:pPr>
        <w:ind w:left="6788" w:hanging="971"/>
      </w:pPr>
      <w:rPr>
        <w:rFonts w:hint="default"/>
        <w:lang w:val="es-ES" w:eastAsia="en-US" w:bidi="ar-SA"/>
      </w:rPr>
    </w:lvl>
  </w:abstract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lang w:val="es-ES" w:eastAsia="en-US" w:bidi="ar-SA"/>
    </w:rPr>
  </w:style>
  <w:style w:styleId="TOC1" w:type="paragraph">
    <w:name w:val="TOC 1"/>
    <w:basedOn w:val="Normal"/>
    <w:uiPriority w:val="1"/>
    <w:qFormat/>
    <w:pPr>
      <w:spacing w:before="18"/>
      <w:ind w:left="116"/>
    </w:pPr>
    <w:rPr>
      <w:rFonts w:ascii="Arial" w:hAnsi="Arial" w:eastAsia="Arial" w:cs="Arial"/>
      <w:sz w:val="18"/>
      <w:szCs w:val="18"/>
      <w:lang w:val="es-ES" w:eastAsia="en-US" w:bidi="ar-SA"/>
    </w:rPr>
  </w:style>
  <w:style w:styleId="TOC2" w:type="paragraph">
    <w:name w:val="TOC 2"/>
    <w:basedOn w:val="Normal"/>
    <w:uiPriority w:val="1"/>
    <w:qFormat/>
    <w:pPr>
      <w:spacing w:before="130"/>
      <w:ind w:left="1662" w:hanging="708"/>
    </w:pPr>
    <w:rPr>
      <w:rFonts w:ascii="Arial" w:hAnsi="Arial" w:eastAsia="Arial" w:cs="Arial"/>
      <w:sz w:val="20"/>
      <w:szCs w:val="20"/>
      <w:lang w:val="es-ES" w:eastAsia="en-US" w:bidi="ar-SA"/>
    </w:rPr>
  </w:style>
  <w:style w:styleId="TOC3" w:type="paragraph">
    <w:name w:val="TOC 3"/>
    <w:basedOn w:val="Normal"/>
    <w:uiPriority w:val="1"/>
    <w:qFormat/>
    <w:pPr>
      <w:spacing w:before="175"/>
      <w:ind w:left="968"/>
    </w:pPr>
    <w:rPr>
      <w:rFonts w:ascii="Arial" w:hAnsi="Arial" w:eastAsia="Arial" w:cs="Arial"/>
      <w:sz w:val="18"/>
      <w:szCs w:val="18"/>
      <w:lang w:val="es-ES" w:eastAsia="en-US" w:bidi="ar-SA"/>
    </w:rPr>
  </w:style>
  <w:style w:styleId="TOC4" w:type="paragraph">
    <w:name w:val="TOC 4"/>
    <w:basedOn w:val="Normal"/>
    <w:uiPriority w:val="1"/>
    <w:qFormat/>
    <w:pPr>
      <w:spacing w:before="29"/>
      <w:ind w:left="1174"/>
    </w:pPr>
    <w:rPr>
      <w:rFonts w:ascii="Arial" w:hAnsi="Arial" w:eastAsia="Arial" w:cs="Arial"/>
      <w:sz w:val="20"/>
      <w:szCs w:val="20"/>
      <w:lang w:val="es-ES" w:eastAsia="en-US" w:bidi="ar-SA"/>
    </w:rPr>
  </w:style>
  <w:style w:styleId="TOC5" w:type="paragraph">
    <w:name w:val="TOC 5"/>
    <w:basedOn w:val="Normal"/>
    <w:uiPriority w:val="1"/>
    <w:qFormat/>
    <w:pPr>
      <w:spacing w:before="29"/>
      <w:ind w:left="1662"/>
    </w:pPr>
    <w:rPr>
      <w:rFonts w:ascii="Arial" w:hAnsi="Arial" w:eastAsia="Arial" w:cs="Arial"/>
      <w:sz w:val="20"/>
      <w:szCs w:val="20"/>
      <w:lang w:val="es-ES" w:eastAsia="en-US" w:bidi="ar-SA"/>
    </w:rPr>
  </w:style>
  <w:style w:styleId="TOC6" w:type="paragraph">
    <w:name w:val="TOC 6"/>
    <w:basedOn w:val="Normal"/>
    <w:uiPriority w:val="1"/>
    <w:qFormat/>
    <w:pPr>
      <w:spacing w:before="19"/>
      <w:ind w:left="2394" w:hanging="733"/>
    </w:pPr>
    <w:rPr>
      <w:rFonts w:ascii="Arial" w:hAnsi="Arial" w:eastAsia="Arial" w:cs="Arial"/>
      <w:i/>
      <w:iCs/>
      <w:sz w:val="18"/>
      <w:szCs w:val="18"/>
      <w:lang w:val="es-ES" w:eastAsia="en-US" w:bidi="ar-SA"/>
    </w:rPr>
  </w:style>
  <w:style w:styleId="TOC7" w:type="paragraph">
    <w:name w:val="TOC 7"/>
    <w:basedOn w:val="Normal"/>
    <w:uiPriority w:val="1"/>
    <w:qFormat/>
    <w:pPr>
      <w:spacing w:before="16"/>
      <w:ind w:left="2394"/>
    </w:pPr>
    <w:rPr>
      <w:rFonts w:ascii="Arial" w:hAnsi="Arial" w:eastAsia="Arial" w:cs="Arial"/>
      <w:i/>
      <w:iCs/>
      <w:sz w:val="18"/>
      <w:szCs w:val="18"/>
      <w:lang w:val="es-ES" w:eastAsia="en-US" w:bidi="ar-SA"/>
    </w:rPr>
  </w:style>
  <w:style w:styleId="BodyText" w:type="paragraph">
    <w:name w:val="Body Text"/>
    <w:basedOn w:val="Normal"/>
    <w:uiPriority w:val="1"/>
    <w:qFormat/>
    <w:pPr/>
    <w:rPr>
      <w:rFonts w:ascii="Arial" w:hAnsi="Arial" w:eastAsia="Arial" w:cs="Arial"/>
      <w:sz w:val="20"/>
      <w:szCs w:val="20"/>
      <w:lang w:val="es-ES" w:eastAsia="en-US" w:bidi="ar-SA"/>
    </w:rPr>
  </w:style>
  <w:style w:styleId="Heading1" w:type="paragraph">
    <w:name w:val="Heading 1"/>
    <w:basedOn w:val="Normal"/>
    <w:uiPriority w:val="1"/>
    <w:qFormat/>
    <w:pPr>
      <w:spacing w:before="77"/>
      <w:ind w:left="963" w:hanging="10"/>
      <w:outlineLvl w:val="1"/>
    </w:pPr>
    <w:rPr>
      <w:rFonts w:ascii="Arial" w:hAnsi="Arial" w:eastAsia="Arial" w:cs="Arial"/>
      <w:sz w:val="72"/>
      <w:szCs w:val="72"/>
      <w:lang w:val="es-ES" w:eastAsia="en-US" w:bidi="ar-SA"/>
    </w:rPr>
  </w:style>
  <w:style w:styleId="Heading2" w:type="paragraph">
    <w:name w:val="Heading 2"/>
    <w:basedOn w:val="Normal"/>
    <w:uiPriority w:val="1"/>
    <w:qFormat/>
    <w:pPr>
      <w:ind w:left="968"/>
      <w:outlineLvl w:val="2"/>
    </w:pPr>
    <w:rPr>
      <w:rFonts w:ascii="Arial" w:hAnsi="Arial" w:eastAsia="Arial" w:cs="Arial"/>
      <w:sz w:val="24"/>
      <w:szCs w:val="24"/>
      <w:lang w:val="es-ES" w:eastAsia="en-US" w:bidi="ar-SA"/>
    </w:rPr>
  </w:style>
  <w:style w:styleId="Heading3" w:type="paragraph">
    <w:name w:val="Heading 3"/>
    <w:basedOn w:val="Normal"/>
    <w:uiPriority w:val="1"/>
    <w:qFormat/>
    <w:pPr>
      <w:ind w:left="102"/>
      <w:outlineLvl w:val="3"/>
    </w:pPr>
    <w:rPr>
      <w:rFonts w:ascii="Arial" w:hAnsi="Arial" w:eastAsia="Arial" w:cs="Arial"/>
      <w:sz w:val="20"/>
      <w:szCs w:val="20"/>
      <w:lang w:val="es-ES" w:eastAsia="en-US" w:bidi="ar-SA"/>
    </w:rPr>
  </w:style>
  <w:style w:styleId="ListParagraph" w:type="paragraph">
    <w:name w:val="List Paragraph"/>
    <w:basedOn w:val="Normal"/>
    <w:uiPriority w:val="1"/>
    <w:qFormat/>
    <w:pPr>
      <w:ind w:left="1662" w:hanging="708"/>
    </w:pPr>
    <w:rPr>
      <w:rFonts w:ascii="Arial" w:hAnsi="Arial" w:eastAsia="Arial" w:cs="Arial"/>
      <w:lang w:val="es-ES" w:eastAsia="en-US" w:bidi="ar-SA"/>
    </w:rPr>
  </w:style>
  <w:style w:styleId="TableParagraph" w:type="paragraph">
    <w:name w:val="Table Paragraph"/>
    <w:basedOn w:val="Normal"/>
    <w:uiPriority w:val="1"/>
    <w:qFormat/>
    <w:pPr/>
    <w:rPr>
      <w:rFonts w:ascii="Arial" w:hAnsi="Arial" w:eastAsia="Arial" w:cs="Arial"/>
      <w:lang w:val="es-E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image" Target="media/image1.png"/><Relationship Id="rId8" Type="http://schemas.openxmlformats.org/officeDocument/2006/relationships/image" Target="media/image2.png"/><Relationship Id="rId9" Type="http://schemas.openxmlformats.org/officeDocument/2006/relationships/header" Target="header2.xml"/><Relationship Id="rId10" Type="http://schemas.openxmlformats.org/officeDocument/2006/relationships/footer" Target="footer2.xml"/><Relationship Id="rId11" Type="http://schemas.openxmlformats.org/officeDocument/2006/relationships/hyperlink" Target="http://www.dipd.dk/" TargetMode="External"/><Relationship Id="rId12" Type="http://schemas.openxmlformats.org/officeDocument/2006/relationships/header" Target="header3.xml"/><Relationship Id="rId13" Type="http://schemas.openxmlformats.org/officeDocument/2006/relationships/footer" Target="footer3.xml"/><Relationship Id="rId14" Type="http://schemas.openxmlformats.org/officeDocument/2006/relationships/header" Target="header4.xml"/><Relationship Id="rId15" Type="http://schemas.openxmlformats.org/officeDocument/2006/relationships/footer" Target="footer4.xml"/><Relationship Id="rId16" Type="http://schemas.openxmlformats.org/officeDocument/2006/relationships/hyperlink" Target="https://www.oecd.org/dac/financing-sustainable-development/development-finance-standards/daclist.htm" TargetMode="External"/><Relationship Id="rId17" Type="http://schemas.openxmlformats.org/officeDocument/2006/relationships/hyperlink" Target="http://www.amg.um.dk/" TargetMode="External"/><Relationship Id="rId18" Type="http://schemas.openxmlformats.org/officeDocument/2006/relationships/hyperlink" Target="http://dipd.dk/" TargetMode="External"/><Relationship Id="rId19" Type="http://schemas.openxmlformats.org/officeDocument/2006/relationships/header" Target="header5.xml"/><Relationship Id="rId20" Type="http://schemas.openxmlformats.org/officeDocument/2006/relationships/footer" Target="footer5.xml"/><Relationship Id="rId21" Type="http://schemas.openxmlformats.org/officeDocument/2006/relationships/header" Target="header6.xml"/><Relationship Id="rId22" Type="http://schemas.openxmlformats.org/officeDocument/2006/relationships/footer" Target="footer6.xml"/><Relationship Id="rId23" Type="http://schemas.openxmlformats.org/officeDocument/2006/relationships/header" Target="header7.xml"/><Relationship Id="rId24" Type="http://schemas.openxmlformats.org/officeDocument/2006/relationships/footer" Target="footer7.xml"/><Relationship Id="rId25" Type="http://schemas.openxmlformats.org/officeDocument/2006/relationships/header" Target="header8.xml"/><Relationship Id="rId26" Type="http://schemas.openxmlformats.org/officeDocument/2006/relationships/footer" Target="footer8.xml"/><Relationship Id="rId27" Type="http://schemas.openxmlformats.org/officeDocument/2006/relationships/header" Target="header9.xml"/><Relationship Id="rId28" Type="http://schemas.openxmlformats.org/officeDocument/2006/relationships/footer" Target="footer9.xml"/><Relationship Id="rId29" Type="http://schemas.openxmlformats.org/officeDocument/2006/relationships/header" Target="header10.xml"/><Relationship Id="rId30" Type="http://schemas.openxmlformats.org/officeDocument/2006/relationships/footer" Target="footer10.xml"/><Relationship Id="rId31" Type="http://schemas.openxmlformats.org/officeDocument/2006/relationships/header" Target="header11.xml"/><Relationship Id="rId32" Type="http://schemas.openxmlformats.org/officeDocument/2006/relationships/footer" Target="footer11.xml"/><Relationship Id="rId33" Type="http://schemas.openxmlformats.org/officeDocument/2006/relationships/header" Target="header12.xml"/><Relationship Id="rId34" Type="http://schemas.openxmlformats.org/officeDocument/2006/relationships/footer" Target="footer12.xml"/><Relationship Id="rId35" Type="http://schemas.openxmlformats.org/officeDocument/2006/relationships/header" Target="header13.xml"/><Relationship Id="rId36" Type="http://schemas.openxmlformats.org/officeDocument/2006/relationships/footer" Target="footer13.xml"/><Relationship Id="rId37" Type="http://schemas.openxmlformats.org/officeDocument/2006/relationships/header" Target="header14.xml"/><Relationship Id="rId38" Type="http://schemas.openxmlformats.org/officeDocument/2006/relationships/footer" Target="footer14.xml"/><Relationship Id="rId39" Type="http://schemas.openxmlformats.org/officeDocument/2006/relationships/hyperlink" Target="http://www.um.dk/" TargetMode="External"/><Relationship Id="rId40" Type="http://schemas.openxmlformats.org/officeDocument/2006/relationships/header" Target="header15.xml"/><Relationship Id="rId41" Type="http://schemas.openxmlformats.org/officeDocument/2006/relationships/footer" Target="footer15.xml"/><Relationship Id="rId42" Type="http://schemas.openxmlformats.org/officeDocument/2006/relationships/header" Target="header16.xml"/><Relationship Id="rId43" Type="http://schemas.openxmlformats.org/officeDocument/2006/relationships/footer" Target="footer16.xml"/><Relationship Id="rId44" Type="http://schemas.openxmlformats.org/officeDocument/2006/relationships/header" Target="header17.xml"/><Relationship Id="rId45" Type="http://schemas.openxmlformats.org/officeDocument/2006/relationships/footer" Target="footer17.xml"/><Relationship Id="rId46" Type="http://schemas.openxmlformats.org/officeDocument/2006/relationships/hyperlink" Target="http://www.humentum.urg.uk/Guide/HealthCheck" TargetMode="External"/><Relationship Id="rId47" Type="http://schemas.openxmlformats.org/officeDocument/2006/relationships/header" Target="header18.xml"/><Relationship Id="rId48" Type="http://schemas.openxmlformats.org/officeDocument/2006/relationships/footer" Target="footer18.xml"/><Relationship Id="rId49" Type="http://schemas.openxmlformats.org/officeDocument/2006/relationships/header" Target="header19.xml"/><Relationship Id="rId50" Type="http://schemas.openxmlformats.org/officeDocument/2006/relationships/footer" Target="footer19.xml"/><Relationship Id="rId51" Type="http://schemas.openxmlformats.org/officeDocument/2006/relationships/header" Target="header20.xml"/><Relationship Id="rId52" Type="http://schemas.openxmlformats.org/officeDocument/2006/relationships/footer" Target="footer20.xml"/><Relationship Id="rId53" Type="http://schemas.openxmlformats.org/officeDocument/2006/relationships/header" Target="header21.xml"/><Relationship Id="rId54" Type="http://schemas.openxmlformats.org/officeDocument/2006/relationships/footer" Target="footer21.xml"/><Relationship Id="rId55" Type="http://schemas.openxmlformats.org/officeDocument/2006/relationships/header" Target="header22.xml"/><Relationship Id="rId56" Type="http://schemas.openxmlformats.org/officeDocument/2006/relationships/footer" Target="footer22.xml"/><Relationship Id="rId57" Type="http://schemas.openxmlformats.org/officeDocument/2006/relationships/header" Target="header23.xml"/><Relationship Id="rId58" Type="http://schemas.openxmlformats.org/officeDocument/2006/relationships/footer" Target="footer23.xml"/><Relationship Id="rId59" Type="http://schemas.openxmlformats.org/officeDocument/2006/relationships/header" Target="header24.xml"/><Relationship Id="rId60" Type="http://schemas.openxmlformats.org/officeDocument/2006/relationships/footer" Target="footer24.xml"/><Relationship Id="rId61"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Line Holmung</dc:creator>
  <dcterms:created xsi:type="dcterms:W3CDTF">2022-12-01T13:27:20Z</dcterms:created>
  <dcterms:modified xsi:type="dcterms:W3CDTF">2022-12-01T13:27:20Z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2021-10-19T00:00:00Z</vt:filetime>
  </property>
  <property fmtid="{D5CDD505-2E9C-101B-9397-08002B2CF9AE}" pid="3" name="Creator">
    <vt:lpwstr>Microsoft® Word til Microsoft 365</vt:lpwstr>
  </property>
  <property fmtid="{D5CDD505-2E9C-101B-9397-08002B2CF9AE}" pid="4" name="LastSaved">
    <vt:filetime>2022-12-01T00:00:00Z</vt:filetime>
  </property>
  <property fmtid="{D5CDD505-2E9C-101B-9397-08002B2CF9AE}" pid="5" name="Producer">
    <vt:lpwstr>Microsoft® Word til Microsoft 365</vt:lpwstr>
  </property>
</Properties>
</file>