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52115" cy="7818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115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Title"/>
      </w:pPr>
      <w:r>
        <w:rPr>
          <w:smallCaps/>
        </w:rPr>
        <w:t>Check</w:t>
      </w:r>
      <w:r>
        <w:rPr>
          <w:smallCaps/>
          <w:spacing w:val="-4"/>
        </w:rPr>
        <w:t> </w:t>
      </w:r>
      <w:r>
        <w:rPr>
          <w:smallCaps/>
        </w:rPr>
        <w:t>list</w:t>
      </w:r>
      <w:r>
        <w:rPr>
          <w:smallCaps/>
          <w:spacing w:val="1"/>
        </w:rPr>
        <w:t> </w:t>
      </w:r>
      <w:r>
        <w:rPr>
          <w:smallCaps/>
        </w:rPr>
        <w:t>de</w:t>
      </w:r>
      <w:r>
        <w:rPr>
          <w:smallCaps/>
          <w:spacing w:val="-6"/>
        </w:rPr>
        <w:t> </w:t>
      </w:r>
      <w:r>
        <w:rPr>
          <w:smallCaps/>
        </w:rPr>
        <w:t>DIPD</w:t>
      </w:r>
      <w:r>
        <w:rPr>
          <w:smallCaps/>
          <w:spacing w:val="-20"/>
        </w:rPr>
        <w:t> </w:t>
      </w:r>
      <w:r>
        <w:rPr>
          <w:smallCaps/>
        </w:rPr>
        <w:t>para</w:t>
      </w:r>
      <w:r>
        <w:rPr>
          <w:smallCaps/>
          <w:spacing w:val="-2"/>
        </w:rPr>
        <w:t> </w:t>
      </w:r>
      <w:r>
        <w:rPr>
          <w:smallCaps/>
        </w:rPr>
        <w:t>preparar</w:t>
      </w:r>
      <w:r>
        <w:rPr>
          <w:smallCaps/>
          <w:spacing w:val="-4"/>
        </w:rPr>
        <w:t> </w:t>
      </w:r>
      <w:r>
        <w:rPr>
          <w:smallCaps/>
        </w:rPr>
        <w:t>la</w:t>
      </w:r>
      <w:r>
        <w:rPr>
          <w:smallCaps/>
          <w:spacing w:val="-2"/>
        </w:rPr>
        <w:t> auditoría</w:t>
      </w:r>
    </w:p>
    <w:p>
      <w:pPr>
        <w:spacing w:before="48"/>
        <w:ind w:left="113" w:right="0" w:firstLine="0"/>
        <w:jc w:val="left"/>
        <w:rPr>
          <w:b/>
          <w:sz w:val="21"/>
        </w:rPr>
      </w:pPr>
      <w:r>
        <w:rPr>
          <w:b/>
          <w:sz w:val="21"/>
        </w:rPr>
        <w:t>COOPERACIÓN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PARTIDOS</w:t>
      </w:r>
      <w:r>
        <w:rPr>
          <w:b/>
          <w:spacing w:val="-10"/>
          <w:sz w:val="21"/>
        </w:rPr>
        <w:t> </w:t>
      </w:r>
      <w:r>
        <w:rPr>
          <w:b/>
          <w:spacing w:val="-2"/>
          <w:sz w:val="21"/>
        </w:rPr>
        <w:t>POLÍTICOS</w:t>
      </w:r>
    </w:p>
    <w:p>
      <w:pPr>
        <w:spacing w:before="10"/>
        <w:ind w:left="113" w:right="0" w:firstLine="0"/>
        <w:jc w:val="left"/>
        <w:rPr>
          <w:sz w:val="18"/>
        </w:rPr>
      </w:pPr>
      <w:r>
        <w:rPr>
          <w:smallCaps/>
          <w:sz w:val="18"/>
        </w:rPr>
        <w:t>Anexo</w:t>
      </w:r>
      <w:r>
        <w:rPr>
          <w:smallCaps/>
          <w:spacing w:val="-8"/>
          <w:sz w:val="18"/>
        </w:rPr>
        <w:t> </w:t>
      </w:r>
      <w:r>
        <w:rPr>
          <w:smallCaps/>
          <w:sz w:val="18"/>
        </w:rPr>
        <w:t>11:</w:t>
      </w:r>
      <w:r>
        <w:rPr>
          <w:smallCaps/>
          <w:spacing w:val="-12"/>
          <w:sz w:val="18"/>
        </w:rPr>
        <w:t> </w:t>
      </w:r>
      <w:r>
        <w:rPr>
          <w:smallCaps/>
          <w:sz w:val="18"/>
        </w:rPr>
        <w:t>Octubre</w:t>
      </w:r>
      <w:r>
        <w:rPr>
          <w:smallCaps/>
          <w:spacing w:val="-4"/>
          <w:sz w:val="18"/>
        </w:rPr>
        <w:t> 2017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113" w:right="110"/>
        <w:jc w:val="both"/>
      </w:pPr>
      <w:r>
        <w:rPr/>
        <w:t>Al</w:t>
      </w:r>
      <w:r>
        <w:rPr>
          <w:spacing w:val="-10"/>
        </w:rPr>
        <w:t> </w:t>
      </w:r>
      <w:r>
        <w:rPr/>
        <w:t>final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preparatorias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antes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inicie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proyecto,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auditor</w:t>
      </w:r>
      <w:r>
        <w:rPr>
          <w:spacing w:val="-8"/>
        </w:rPr>
        <w:t> </w:t>
      </w:r>
      <w:r>
        <w:rPr/>
        <w:t>externo</w:t>
      </w:r>
      <w:r>
        <w:rPr>
          <w:spacing w:val="-9"/>
        </w:rPr>
        <w:t> </w:t>
      </w:r>
      <w:r>
        <w:rPr/>
        <w:t>auditará las actividades preparatorias. La secretaría de DIPD facilitará el contacto con un auditor, pero el controlador financiero y el coordinador del proyecto del partido serán responsables del diálogo con el auditor</w:t>
      </w:r>
      <w:r>
        <w:rPr>
          <w:spacing w:val="-10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auditoría.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costes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1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específica</w:t>
      </w:r>
      <w:r>
        <w:rPr>
          <w:spacing w:val="-10"/>
        </w:rPr>
        <w:t> </w:t>
      </w:r>
      <w:r>
        <w:rPr/>
        <w:t>correrán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DIPD.</w:t>
      </w:r>
      <w:r>
        <w:rPr>
          <w:spacing w:val="-12"/>
        </w:rPr>
        <w:t> </w:t>
      </w:r>
      <w:r>
        <w:rPr/>
        <w:t>Después 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principal, la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debe</w:t>
      </w:r>
      <w:r>
        <w:rPr>
          <w:spacing w:val="-2"/>
        </w:rPr>
        <w:t> </w:t>
      </w:r>
      <w:r>
        <w:rPr/>
        <w:t>asumir</w:t>
      </w:r>
      <w:r>
        <w:rPr>
          <w:spacing w:val="-3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 costes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auditoría</w:t>
      </w:r>
      <w:r>
        <w:rPr>
          <w:spacing w:val="-4"/>
        </w:rPr>
        <w:t> </w:t>
      </w:r>
      <w:r>
        <w:rPr/>
        <w:t>externa de las cuentas del proyecto final. Además, el partido debe asegurarse de que el socio también tenga un auditor externo para su parte de la contabilidad final.</w:t>
      </w:r>
    </w:p>
    <w:p>
      <w:pPr>
        <w:pStyle w:val="BodyText"/>
      </w:pPr>
    </w:p>
    <w:p>
      <w:pPr>
        <w:pStyle w:val="BodyText"/>
        <w:ind w:left="113" w:right="116"/>
        <w:jc w:val="both"/>
      </w:pPr>
      <w:r>
        <w:rPr/>
        <w:t>A continuación, se muestra una </w:t>
      </w:r>
      <w:r>
        <w:rPr>
          <w:i/>
        </w:rPr>
        <w:t>check-list </w:t>
      </w:r>
      <w:r>
        <w:rPr/>
        <w:t>que el partido debe revisar y asegurarse de que todos los elementos estén siendo cumplidos: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40" w:lineRule="auto" w:before="0" w:after="0"/>
        <w:ind w:left="113" w:right="111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partido</w:t>
      </w:r>
      <w:r>
        <w:rPr>
          <w:spacing w:val="-2"/>
          <w:sz w:val="22"/>
        </w:rPr>
        <w:t> </w:t>
      </w:r>
      <w:r>
        <w:rPr>
          <w:sz w:val="22"/>
        </w:rPr>
        <w:t>ha</w:t>
      </w:r>
      <w:r>
        <w:rPr>
          <w:spacing w:val="-3"/>
          <w:sz w:val="22"/>
        </w:rPr>
        <w:t> </w:t>
      </w:r>
      <w:r>
        <w:rPr>
          <w:sz w:val="22"/>
        </w:rPr>
        <w:t>creado</w:t>
      </w:r>
      <w:r>
        <w:rPr>
          <w:spacing w:val="-1"/>
          <w:sz w:val="22"/>
        </w:rPr>
        <w:t> </w:t>
      </w:r>
      <w:r>
        <w:rPr>
          <w:sz w:val="22"/>
        </w:rPr>
        <w:t>una cuenta</w:t>
      </w:r>
      <w:r>
        <w:rPr>
          <w:spacing w:val="-3"/>
          <w:sz w:val="22"/>
        </w:rPr>
        <w:t> </w:t>
      </w:r>
      <w:r>
        <w:rPr>
          <w:sz w:val="22"/>
        </w:rPr>
        <w:t>bancaria independiente para</w:t>
      </w:r>
      <w:r>
        <w:rPr>
          <w:spacing w:val="-3"/>
          <w:sz w:val="22"/>
        </w:rPr>
        <w:t> </w:t>
      </w:r>
      <w:r>
        <w:rPr>
          <w:sz w:val="22"/>
        </w:rPr>
        <w:t>la subvención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está</w:t>
      </w:r>
      <w:r>
        <w:rPr>
          <w:spacing w:val="-3"/>
          <w:sz w:val="22"/>
        </w:rPr>
        <w:t> </w:t>
      </w:r>
      <w:r>
        <w:rPr>
          <w:sz w:val="22"/>
        </w:rPr>
        <w:t>en posesión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documentación correspondiente sobre la misma;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40" w:lineRule="auto" w:before="1" w:after="0"/>
        <w:ind w:left="113" w:right="108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socio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partido</w:t>
      </w:r>
      <w:r>
        <w:rPr>
          <w:spacing w:val="-7"/>
          <w:sz w:val="22"/>
        </w:rPr>
        <w:t> </w:t>
      </w:r>
      <w:r>
        <w:rPr>
          <w:sz w:val="22"/>
        </w:rPr>
        <w:t>ha</w:t>
      </w:r>
      <w:r>
        <w:rPr>
          <w:spacing w:val="-12"/>
          <w:sz w:val="22"/>
        </w:rPr>
        <w:t> </w:t>
      </w:r>
      <w:r>
        <w:rPr>
          <w:sz w:val="22"/>
        </w:rPr>
        <w:t>abierto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cuenta</w:t>
      </w:r>
      <w:r>
        <w:rPr>
          <w:spacing w:val="-8"/>
          <w:sz w:val="22"/>
        </w:rPr>
        <w:t> </w:t>
      </w:r>
      <w:r>
        <w:rPr>
          <w:sz w:val="22"/>
        </w:rPr>
        <w:t>bancaria</w:t>
      </w:r>
      <w:r>
        <w:rPr>
          <w:spacing w:val="-5"/>
          <w:sz w:val="22"/>
        </w:rPr>
        <w:t> </w:t>
      </w:r>
      <w:r>
        <w:rPr>
          <w:sz w:val="22"/>
        </w:rPr>
        <w:t>independiente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recibir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fondos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en posesión de la documentación correspondiente sobre la misma;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40" w:lineRule="auto" w:before="0" w:after="0"/>
        <w:ind w:left="113" w:right="110" w:firstLine="0"/>
        <w:jc w:val="both"/>
        <w:rPr>
          <w:sz w:val="22"/>
        </w:rPr>
      </w:pPr>
      <w:r>
        <w:rPr>
          <w:sz w:val="22"/>
        </w:rPr>
        <w:t>Se realizará un acuerdo con el banco (formulado por el abogado del banco), que confirme que el banco no tiene intención de realizar desembolsos/retiradas de dinero relacionados con otras cuentas que el partido pueda tener, en la cuenta específicamente configurada para la subvención del DIPD;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40" w:lineRule="auto" w:before="0" w:after="0"/>
        <w:ind w:left="113" w:right="10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partido</w:t>
      </w:r>
      <w:r>
        <w:rPr>
          <w:spacing w:val="-4"/>
          <w:sz w:val="22"/>
        </w:rPr>
        <w:t> </w:t>
      </w:r>
      <w:r>
        <w:rPr>
          <w:sz w:val="22"/>
        </w:rPr>
        <w:t>debe</w:t>
      </w:r>
      <w:r>
        <w:rPr>
          <w:spacing w:val="-4"/>
          <w:sz w:val="22"/>
        </w:rPr>
        <w:t> </w:t>
      </w:r>
      <w:r>
        <w:rPr>
          <w:sz w:val="22"/>
        </w:rPr>
        <w:t>asegurarse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intereses</w:t>
      </w:r>
      <w:r>
        <w:rPr>
          <w:spacing w:val="-6"/>
          <w:sz w:val="22"/>
        </w:rPr>
        <w:t> </w:t>
      </w:r>
      <w:r>
        <w:rPr>
          <w:sz w:val="22"/>
        </w:rPr>
        <w:t>devengados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fondos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DIPD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devuelvan al DIPD;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0" w:after="0"/>
        <w:ind w:left="113" w:right="110" w:firstLine="0"/>
        <w:jc w:val="both"/>
        <w:rPr>
          <w:sz w:val="22"/>
        </w:rPr>
      </w:pPr>
      <w:r>
        <w:rPr>
          <w:sz w:val="22"/>
        </w:rPr>
        <w:t>El partido también debe demostrar que los intereses devengados del período de la subvención se registran por separado y que no se han utilizado para ninguna actividad del proyecto;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0" w:after="0"/>
        <w:ind w:left="113" w:right="109" w:firstLine="0"/>
        <w:jc w:val="both"/>
        <w:rPr>
          <w:sz w:val="22"/>
        </w:rPr>
      </w:pPr>
      <w:r>
        <w:rPr>
          <w:sz w:val="22"/>
        </w:rPr>
        <w:t>El partido (y su socio) debe tener un acuerdo escrito con un auditor público externo independiente certificado, quien realizará la auditoría final de todas las cuentas relacionadas con el proyecto;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0" w:lineRule="auto" w:before="0" w:after="0"/>
        <w:ind w:left="113" w:right="113" w:firstLine="0"/>
        <w:jc w:val="both"/>
        <w:rPr>
          <w:sz w:val="22"/>
        </w:rPr>
      </w:pPr>
      <w:r>
        <w:rPr>
          <w:sz w:val="22"/>
        </w:rPr>
        <w:t>Tanto el partido (como su socio) deben tener a su disposición un informe final que contenga la contabilidad definitiva aprobada por un auditor. El informe final del socio debe estar en inglés;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0" w:after="0"/>
        <w:ind w:left="252" w:right="0" w:hanging="140"/>
        <w:jc w:val="both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contabilidad</w:t>
      </w:r>
      <w:r>
        <w:rPr>
          <w:spacing w:val="-4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debe</w:t>
      </w:r>
      <w:r>
        <w:rPr>
          <w:spacing w:val="-4"/>
          <w:sz w:val="22"/>
        </w:rPr>
        <w:t> </w:t>
      </w:r>
      <w:r>
        <w:rPr>
          <w:sz w:val="22"/>
        </w:rPr>
        <w:t>incluir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subvención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DIPD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costes</w:t>
      </w:r>
      <w:r>
        <w:rPr>
          <w:spacing w:val="-6"/>
          <w:sz w:val="22"/>
        </w:rPr>
        <w:t> </w:t>
      </w:r>
      <w:r>
        <w:rPr>
          <w:sz w:val="22"/>
        </w:rPr>
        <w:t>realizados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año;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40" w:lineRule="auto" w:before="0" w:after="0"/>
        <w:ind w:left="113" w:right="108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partido</w:t>
      </w:r>
      <w:r>
        <w:rPr>
          <w:spacing w:val="-7"/>
          <w:sz w:val="22"/>
        </w:rPr>
        <w:t> </w:t>
      </w:r>
      <w:r>
        <w:rPr>
          <w:sz w:val="22"/>
        </w:rPr>
        <w:t>(y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socio)</w:t>
      </w:r>
      <w:r>
        <w:rPr>
          <w:spacing w:val="-5"/>
          <w:sz w:val="22"/>
        </w:rPr>
        <w:t> </w:t>
      </w:r>
      <w:r>
        <w:rPr>
          <w:sz w:val="22"/>
        </w:rPr>
        <w:t>darán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auditoría</w:t>
      </w:r>
      <w:r>
        <w:rPr>
          <w:spacing w:val="-9"/>
          <w:sz w:val="22"/>
        </w:rPr>
        <w:t> </w:t>
      </w:r>
      <w:r>
        <w:rPr>
          <w:sz w:val="22"/>
        </w:rPr>
        <w:t>externa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realizará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8"/>
          <w:sz w:val="22"/>
        </w:rPr>
        <w:t> </w:t>
      </w:r>
      <w:r>
        <w:rPr>
          <w:sz w:val="22"/>
        </w:rPr>
        <w:t>solicitado por</w:t>
      </w:r>
      <w:r>
        <w:rPr>
          <w:spacing w:val="-8"/>
          <w:sz w:val="22"/>
        </w:rPr>
        <w:t> </w:t>
      </w:r>
      <w:r>
        <w:rPr>
          <w:sz w:val="22"/>
        </w:rPr>
        <w:t>DIPD,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Ministerio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Relaciones</w:t>
      </w:r>
      <w:r>
        <w:rPr>
          <w:spacing w:val="-9"/>
          <w:sz w:val="22"/>
        </w:rPr>
        <w:t> </w:t>
      </w:r>
      <w:r>
        <w:rPr>
          <w:sz w:val="22"/>
        </w:rPr>
        <w:t>Exteriores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Dinamarca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Auditor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Dinamarca.</w:t>
      </w:r>
      <w:r>
        <w:rPr>
          <w:spacing w:val="-10"/>
          <w:sz w:val="22"/>
        </w:rPr>
        <w:t> </w:t>
      </w:r>
      <w:r>
        <w:rPr>
          <w:sz w:val="22"/>
        </w:rPr>
        <w:t>Los auditores deben tener acceso a todos los documentos relevantes del proyecto, cuentas / libros de contabilidad, inventario, etc. para poder evaluar la exactitud de la implementación del proyecto, la gestión y el uso de los fondos asignados.</w:t>
      </w:r>
    </w:p>
    <w:sectPr>
      <w:type w:val="continuous"/>
      <w:pgSz w:w="12240" w:h="15840"/>
      <w:pgMar w:top="8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3" w:hanging="14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8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6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4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2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8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6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14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3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3" w:right="108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Gade Bisgaard</dc:creator>
  <dcterms:created xsi:type="dcterms:W3CDTF">2022-12-01T13:32:30Z</dcterms:created>
  <dcterms:modified xsi:type="dcterms:W3CDTF">2022-12-01T13:32:30Z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2022-12-01T00:00:00Z</vt:filetime>
  </property>
  <property fmtid="{D5CDD505-2E9C-101B-9397-08002B2CF9AE}" pid="5" name="Producer">
    <vt:lpwstr>Microsoft® Word til Microsoft 365</vt:lpwstr>
  </property>
</Properties>
</file>